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2E10" w:rsidRDefault="00B22E10">
      <w:pPr>
        <w:jc w:val="center"/>
        <w:rPr>
          <w:b/>
          <w:sz w:val="20"/>
          <w:szCs w:val="20"/>
        </w:rPr>
      </w:pPr>
      <w:bookmarkStart w:id="0" w:name="_GoBack"/>
      <w:bookmarkEnd w:id="0"/>
    </w:p>
    <w:p w:rsidR="00B22E10" w:rsidRDefault="002F7A49">
      <w:pPr>
        <w:jc w:val="center"/>
        <w:rPr>
          <w:b/>
        </w:rPr>
      </w:pPr>
      <w:r>
        <w:rPr>
          <w:b/>
        </w:rPr>
        <w:t>PONENCIA PROYECTO DE ACUERDO No. 212 DE 2025</w:t>
      </w:r>
    </w:p>
    <w:p w:rsidR="00B22E10" w:rsidRDefault="00B22E10"/>
    <w:p w:rsidR="00B22E10" w:rsidRDefault="00B22E10"/>
    <w:p w:rsidR="00B22E10" w:rsidRDefault="002F7A49">
      <w:pPr>
        <w:jc w:val="both"/>
      </w:pPr>
      <w:r>
        <w:t>Doctora</w:t>
      </w:r>
    </w:p>
    <w:p w:rsidR="00B22E10" w:rsidRDefault="002F7A49">
      <w:pPr>
        <w:jc w:val="both"/>
        <w:rPr>
          <w:b/>
        </w:rPr>
      </w:pPr>
      <w:r>
        <w:rPr>
          <w:b/>
        </w:rPr>
        <w:t>ROCIO DUSSAN PÉREZ</w:t>
      </w:r>
    </w:p>
    <w:p w:rsidR="00B22E10" w:rsidRDefault="002F7A49">
      <w:pPr>
        <w:jc w:val="both"/>
      </w:pPr>
      <w:r>
        <w:t>Primera Vicepresidente</w:t>
      </w:r>
    </w:p>
    <w:p w:rsidR="00B22E10" w:rsidRDefault="002F7A49">
      <w:pPr>
        <w:jc w:val="both"/>
      </w:pPr>
      <w:r>
        <w:t>Comisión Segunda Permanente de Gobierno</w:t>
      </w:r>
    </w:p>
    <w:p w:rsidR="00B22E10" w:rsidRDefault="002F7A49">
      <w:pPr>
        <w:jc w:val="both"/>
      </w:pPr>
      <w:r>
        <w:t>Concejo de Bogotá D.C.</w:t>
      </w:r>
    </w:p>
    <w:p w:rsidR="00B22E10" w:rsidRDefault="002F7A49">
      <w:pPr>
        <w:jc w:val="both"/>
      </w:pPr>
      <w:r>
        <w:t>Ciudad</w:t>
      </w:r>
    </w:p>
    <w:p w:rsidR="00B22E10" w:rsidRDefault="00B22E10">
      <w:pPr>
        <w:jc w:val="both"/>
      </w:pPr>
    </w:p>
    <w:p w:rsidR="00B22E10" w:rsidRDefault="00B22E10">
      <w:pPr>
        <w:jc w:val="both"/>
      </w:pPr>
    </w:p>
    <w:p w:rsidR="00B22E10" w:rsidRDefault="002F7A49">
      <w:pPr>
        <w:jc w:val="both"/>
        <w:rPr>
          <w:b/>
          <w:i/>
        </w:rPr>
      </w:pPr>
      <w:r>
        <w:t>Ref. Presentación de ponencia para primer debate del</w:t>
      </w:r>
      <w:r>
        <w:rPr>
          <w:b/>
        </w:rPr>
        <w:t xml:space="preserve"> proyecto de acuerdo No. 212 de 2025 </w:t>
      </w:r>
      <w:r>
        <w:rPr>
          <w:b/>
          <w:i/>
        </w:rPr>
        <w:t>“POR EL CUAL SE CREA LA RUTA POR LA VIDA DIRIGIDA A MUJERES GESTANTES, LACTANTES Y LA VIDA POR NACER EN APOYO A LA RUTA INTEGRAL DE ATENCIÓN MATERNO-PERINATAL (RIAS).”</w:t>
      </w:r>
    </w:p>
    <w:p w:rsidR="00B22E10" w:rsidRDefault="002F7A49">
      <w:pPr>
        <w:jc w:val="both"/>
      </w:pPr>
      <w:r>
        <w:tab/>
      </w:r>
      <w:r>
        <w:tab/>
      </w:r>
      <w:r>
        <w:tab/>
      </w:r>
    </w:p>
    <w:p w:rsidR="00B22E10" w:rsidRDefault="002F7A49">
      <w:pPr>
        <w:spacing w:line="276" w:lineRule="auto"/>
        <w:jc w:val="both"/>
      </w:pPr>
      <w:r>
        <w:t>Respetada Vicepresidente:</w:t>
      </w:r>
    </w:p>
    <w:p w:rsidR="00B22E10" w:rsidRDefault="00B22E10">
      <w:pPr>
        <w:spacing w:line="276" w:lineRule="auto"/>
        <w:jc w:val="both"/>
      </w:pPr>
    </w:p>
    <w:p w:rsidR="00B22E10" w:rsidRDefault="002F7A49">
      <w:pPr>
        <w:spacing w:line="276" w:lineRule="auto"/>
        <w:jc w:val="both"/>
        <w:rPr>
          <w:i/>
        </w:rPr>
      </w:pPr>
      <w:r>
        <w:t>Atendiendo a la desi</w:t>
      </w:r>
      <w:r>
        <w:t>gnación como ponente que mediante sorteo efectuado el día 07 de febrero de 2025 hizo la Presidencia de esta Honorable Corporación, de manera respetuosa presento, dentro del término establecido, ponencia para primer debate del</w:t>
      </w:r>
      <w:r>
        <w:rPr>
          <w:i/>
        </w:rPr>
        <w:t xml:space="preserve"> </w:t>
      </w:r>
      <w:r>
        <w:t xml:space="preserve">proyecto de acuerdo </w:t>
      </w:r>
      <w:r>
        <w:rPr>
          <w:b/>
          <w:i/>
        </w:rPr>
        <w:t>No. 212 de</w:t>
      </w:r>
      <w:r>
        <w:rPr>
          <w:b/>
          <w:i/>
        </w:rPr>
        <w:t xml:space="preserve"> 2025 </w:t>
      </w:r>
    </w:p>
    <w:p w:rsidR="00B22E10" w:rsidRDefault="00B22E10">
      <w:pPr>
        <w:spacing w:line="276" w:lineRule="auto"/>
        <w:jc w:val="both"/>
        <w:rPr>
          <w:i/>
        </w:rPr>
      </w:pPr>
    </w:p>
    <w:p w:rsidR="00B22E10" w:rsidRDefault="00B22E10">
      <w:pPr>
        <w:spacing w:line="276" w:lineRule="auto"/>
        <w:jc w:val="both"/>
        <w:rPr>
          <w:i/>
        </w:rPr>
      </w:pPr>
    </w:p>
    <w:p w:rsidR="00B22E10" w:rsidRDefault="002F7A49">
      <w:pPr>
        <w:spacing w:line="276" w:lineRule="auto"/>
        <w:jc w:val="both"/>
      </w:pPr>
      <w:r>
        <w:t>Atentamente,</w:t>
      </w:r>
    </w:p>
    <w:p w:rsidR="00B22E10" w:rsidRDefault="00B22E10">
      <w:pPr>
        <w:spacing w:line="276" w:lineRule="auto"/>
        <w:jc w:val="both"/>
      </w:pPr>
    </w:p>
    <w:p w:rsidR="00B22E10" w:rsidRDefault="00B22E10">
      <w:pPr>
        <w:spacing w:line="276" w:lineRule="auto"/>
        <w:jc w:val="both"/>
      </w:pPr>
    </w:p>
    <w:p w:rsidR="00B22E10" w:rsidRDefault="00B22E10">
      <w:pPr>
        <w:spacing w:line="276" w:lineRule="auto"/>
        <w:jc w:val="both"/>
      </w:pPr>
    </w:p>
    <w:p w:rsidR="00B22E10" w:rsidRDefault="002F7A49">
      <w:pPr>
        <w:spacing w:line="276" w:lineRule="auto"/>
        <w:jc w:val="both"/>
        <w:rPr>
          <w:b/>
        </w:rPr>
      </w:pPr>
      <w:r>
        <w:rPr>
          <w:b/>
        </w:rPr>
        <w:t>HC ANDRÉS BARRIOS BERNAL</w:t>
      </w:r>
      <w:r>
        <w:rPr>
          <w:b/>
        </w:rPr>
        <w:tab/>
      </w:r>
    </w:p>
    <w:p w:rsidR="00B22E10" w:rsidRDefault="002F7A49">
      <w:pPr>
        <w:spacing w:line="276" w:lineRule="auto"/>
        <w:jc w:val="both"/>
      </w:pPr>
      <w:r>
        <w:t>Ponente</w:t>
      </w:r>
    </w:p>
    <w:p w:rsidR="00B22E10" w:rsidRDefault="00B22E10">
      <w:pPr>
        <w:spacing w:line="276" w:lineRule="auto"/>
        <w:jc w:val="both"/>
      </w:pPr>
    </w:p>
    <w:p w:rsidR="00B22E10" w:rsidRDefault="00B22E10">
      <w:pPr>
        <w:spacing w:line="276" w:lineRule="auto"/>
        <w:jc w:val="both"/>
      </w:pPr>
    </w:p>
    <w:p w:rsidR="00B22E10" w:rsidRDefault="00B22E10">
      <w:pPr>
        <w:spacing w:line="276" w:lineRule="auto"/>
        <w:jc w:val="both"/>
      </w:pPr>
    </w:p>
    <w:p w:rsidR="00B22E10" w:rsidRDefault="00B22E10">
      <w:pPr>
        <w:spacing w:line="276" w:lineRule="auto"/>
        <w:jc w:val="both"/>
      </w:pPr>
    </w:p>
    <w:p w:rsidR="00B22E10" w:rsidRDefault="00B22E10">
      <w:pPr>
        <w:spacing w:line="276" w:lineRule="auto"/>
        <w:jc w:val="both"/>
      </w:pPr>
    </w:p>
    <w:p w:rsidR="00B22E10" w:rsidRDefault="00B22E10">
      <w:pPr>
        <w:spacing w:line="276" w:lineRule="auto"/>
        <w:jc w:val="both"/>
      </w:pPr>
    </w:p>
    <w:p w:rsidR="00B22E10" w:rsidRDefault="002F7A49">
      <w:pPr>
        <w:numPr>
          <w:ilvl w:val="0"/>
          <w:numId w:val="2"/>
        </w:numPr>
        <w:pBdr>
          <w:top w:val="nil"/>
          <w:left w:val="nil"/>
          <w:bottom w:val="nil"/>
          <w:right w:val="nil"/>
          <w:between w:val="nil"/>
        </w:pBdr>
        <w:spacing w:line="276" w:lineRule="auto"/>
        <w:jc w:val="both"/>
        <w:rPr>
          <w:b/>
        </w:rPr>
      </w:pPr>
      <w:r>
        <w:rPr>
          <w:b/>
        </w:rPr>
        <w:lastRenderedPageBreak/>
        <w:t>OBJETIVO DEL PROYECTO</w:t>
      </w:r>
    </w:p>
    <w:p w:rsidR="00B22E10" w:rsidRDefault="00B22E10">
      <w:pPr>
        <w:spacing w:line="276" w:lineRule="auto"/>
        <w:ind w:left="720"/>
        <w:jc w:val="both"/>
      </w:pPr>
    </w:p>
    <w:p w:rsidR="00B22E10" w:rsidRDefault="002F7A49">
      <w:pPr>
        <w:spacing w:line="276" w:lineRule="auto"/>
        <w:jc w:val="both"/>
        <w:rPr>
          <w:b/>
          <w:i/>
          <w:sz w:val="18"/>
          <w:szCs w:val="18"/>
        </w:rPr>
      </w:pPr>
      <w:r>
        <w:t xml:space="preserve">De acuerdo con los establecido en la iniciativa, el objetivo de la misma es </w:t>
      </w:r>
      <w:r>
        <w:rPr>
          <w:i/>
        </w:rPr>
        <w:t xml:space="preserve">complementar la Ruta Integral de atención Materno-Perinatal, especialmente en sus componentes de salud mental y apoyo comunitario con el fin de crear acciones de acompañamiento y contención a las mujeres durante su proceso de gestación y lactancia tomando </w:t>
      </w:r>
      <w:r>
        <w:rPr>
          <w:i/>
        </w:rPr>
        <w:t>en consideración su condición física, mental, familiar y económica con el fin de llevar a buen término su proceso de gestación y maternidad propendiendo siempre por el bienestar integral de la madre y la vida por nacer ofreciendo una alternativa a la Inter</w:t>
      </w:r>
      <w:r>
        <w:rPr>
          <w:i/>
        </w:rPr>
        <w:t>rupción Voluntaria del Embarazo.</w:t>
      </w:r>
    </w:p>
    <w:p w:rsidR="00B22E10" w:rsidRDefault="00B22E10">
      <w:pPr>
        <w:spacing w:line="276" w:lineRule="auto"/>
        <w:jc w:val="both"/>
        <w:rPr>
          <w:b/>
        </w:rPr>
      </w:pPr>
    </w:p>
    <w:p w:rsidR="00B22E10" w:rsidRDefault="00B22E10">
      <w:pPr>
        <w:spacing w:line="276" w:lineRule="auto"/>
        <w:jc w:val="both"/>
      </w:pPr>
    </w:p>
    <w:p w:rsidR="00B22E10" w:rsidRDefault="002F7A49">
      <w:pPr>
        <w:numPr>
          <w:ilvl w:val="0"/>
          <w:numId w:val="2"/>
        </w:numPr>
        <w:pBdr>
          <w:top w:val="nil"/>
          <w:left w:val="nil"/>
          <w:bottom w:val="nil"/>
          <w:right w:val="nil"/>
          <w:between w:val="nil"/>
        </w:pBdr>
        <w:spacing w:line="276" w:lineRule="auto"/>
        <w:jc w:val="both"/>
      </w:pPr>
      <w:r>
        <w:rPr>
          <w:b/>
        </w:rPr>
        <w:t>ANTECEDENTES</w:t>
      </w:r>
      <w:r>
        <w:t xml:space="preserve"> </w:t>
      </w:r>
    </w:p>
    <w:p w:rsidR="00B22E10" w:rsidRDefault="00B22E10">
      <w:pPr>
        <w:spacing w:line="276" w:lineRule="auto"/>
        <w:jc w:val="both"/>
      </w:pPr>
    </w:p>
    <w:p w:rsidR="00B22E10" w:rsidRDefault="002F7A49">
      <w:pPr>
        <w:spacing w:line="276" w:lineRule="auto"/>
        <w:jc w:val="both"/>
      </w:pPr>
      <w:r>
        <w:t>Al realizar la revisión de este proyecto no se encontró antecedentes relacionados que hayan sido presentados previamente.</w:t>
      </w:r>
    </w:p>
    <w:p w:rsidR="00B22E10" w:rsidRDefault="00B22E10">
      <w:pPr>
        <w:spacing w:line="276" w:lineRule="auto"/>
        <w:jc w:val="both"/>
      </w:pPr>
    </w:p>
    <w:p w:rsidR="00B22E10" w:rsidRDefault="002F7A49">
      <w:pPr>
        <w:spacing w:line="276" w:lineRule="auto"/>
        <w:jc w:val="both"/>
        <w:rPr>
          <w:b/>
        </w:rPr>
      </w:pPr>
      <w:r>
        <w:t xml:space="preserve"> </w:t>
      </w:r>
    </w:p>
    <w:p w:rsidR="00B22E10" w:rsidRDefault="002F7A49">
      <w:pPr>
        <w:widowControl w:val="0"/>
        <w:numPr>
          <w:ilvl w:val="0"/>
          <w:numId w:val="2"/>
        </w:numPr>
        <w:pBdr>
          <w:top w:val="nil"/>
          <w:left w:val="nil"/>
          <w:bottom w:val="nil"/>
          <w:right w:val="nil"/>
          <w:between w:val="nil"/>
        </w:pBdr>
        <w:spacing w:line="276" w:lineRule="auto"/>
        <w:jc w:val="both"/>
      </w:pPr>
      <w:r>
        <w:rPr>
          <w:b/>
        </w:rPr>
        <w:t xml:space="preserve">MARCO </w:t>
      </w:r>
      <w:r>
        <w:rPr>
          <w:b/>
        </w:rPr>
        <w:t>JURÍDICO</w:t>
      </w:r>
      <w:r>
        <w:rPr>
          <w:b/>
        </w:rPr>
        <w:t xml:space="preserve">  </w:t>
      </w:r>
    </w:p>
    <w:p w:rsidR="00B22E10" w:rsidRDefault="00B22E10">
      <w:pPr>
        <w:spacing w:line="276" w:lineRule="auto"/>
        <w:jc w:val="both"/>
      </w:pPr>
    </w:p>
    <w:p w:rsidR="00B22E10" w:rsidRDefault="002F7A49">
      <w:pPr>
        <w:shd w:val="clear" w:color="auto" w:fill="FFFFFF"/>
        <w:spacing w:line="276" w:lineRule="auto"/>
        <w:jc w:val="both"/>
      </w:pPr>
      <w:r>
        <w:t>El proyecto de acuerdo presenta el siguiente marco jurídico:</w:t>
      </w:r>
    </w:p>
    <w:p w:rsidR="00B22E10" w:rsidRDefault="00B22E10">
      <w:pPr>
        <w:shd w:val="clear" w:color="auto" w:fill="FFFFFF"/>
        <w:spacing w:line="276" w:lineRule="auto"/>
        <w:jc w:val="both"/>
      </w:pPr>
    </w:p>
    <w:p w:rsidR="00B22E10" w:rsidRDefault="002F7A49">
      <w:pPr>
        <w:shd w:val="clear" w:color="auto" w:fill="FFFFFF"/>
        <w:spacing w:before="200" w:line="276" w:lineRule="auto"/>
        <w:ind w:firstLine="720"/>
        <w:jc w:val="both"/>
        <w:rPr>
          <w:b/>
        </w:rPr>
      </w:pPr>
      <w:r>
        <w:rPr>
          <w:b/>
        </w:rPr>
        <w:t>1.1</w:t>
      </w:r>
      <w:r>
        <w:rPr>
          <w:rFonts w:ascii="Times New Roman" w:eastAsia="Times New Roman" w:hAnsi="Times New Roman" w:cs="Times New Roman"/>
          <w:sz w:val="14"/>
          <w:szCs w:val="14"/>
        </w:rPr>
        <w:tab/>
      </w:r>
      <w:r>
        <w:rPr>
          <w:b/>
        </w:rPr>
        <w:t>CONSTITUCIÓN POLÍTICA DE COLOMBIA</w:t>
      </w:r>
    </w:p>
    <w:p w:rsidR="00B22E10" w:rsidRDefault="002F7A49">
      <w:pPr>
        <w:shd w:val="clear" w:color="auto" w:fill="FFFFFF"/>
        <w:spacing w:before="200" w:line="276" w:lineRule="auto"/>
        <w:ind w:left="720" w:right="220"/>
        <w:jc w:val="both"/>
      </w:pPr>
      <w:r>
        <w:rPr>
          <w:b/>
        </w:rPr>
        <w:t xml:space="preserve">ARTÍCULO 1. </w:t>
      </w:r>
      <w:r>
        <w:t xml:space="preserve">Colombia es un Estado social de derecho organizado en forma de República unitaria, descentralizada, con autonomía de sus entidades territoriales, democrática, participativa y pluralista, </w:t>
      </w:r>
      <w:r>
        <w:rPr>
          <w:u w:val="single"/>
        </w:rPr>
        <w:t>fundada en el respe</w:t>
      </w:r>
      <w:r>
        <w:rPr>
          <w:u w:val="single"/>
        </w:rPr>
        <w:t>to de la dignidad</w:t>
      </w:r>
      <w:r>
        <w:t xml:space="preserve"> </w:t>
      </w:r>
      <w:r>
        <w:rPr>
          <w:u w:val="single"/>
        </w:rPr>
        <w:t>humana</w:t>
      </w:r>
      <w:r>
        <w:t>, en el trabajo y la solidaridad de las personas que la integran y en la prevalencia del interés general.</w:t>
      </w:r>
    </w:p>
    <w:p w:rsidR="00B22E10" w:rsidRDefault="002F7A49">
      <w:pPr>
        <w:shd w:val="clear" w:color="auto" w:fill="FFFFFF"/>
        <w:spacing w:before="200" w:line="276" w:lineRule="auto"/>
        <w:ind w:left="720" w:right="220"/>
        <w:jc w:val="both"/>
      </w:pPr>
      <w:r>
        <w:rPr>
          <w:b/>
        </w:rPr>
        <w:t xml:space="preserve">ARTÍCULO 2. </w:t>
      </w:r>
      <w:r>
        <w:t>Son fines esenciales del Estado: servir a la comunidad, promover la prosperidad general y garantizar la efectivida</w:t>
      </w:r>
      <w:r>
        <w:t xml:space="preserve">d de los principios, derechos y deberes consagrados en la Constitución; facilitar la participación de todos en las decisiones que los afectan y en la vida económica, política, administrativa y cultural de la Nación; defender la </w:t>
      </w:r>
      <w:r>
        <w:lastRenderedPageBreak/>
        <w:t>independencia nacional, mant</w:t>
      </w:r>
      <w:r>
        <w:t>ener la integridad territorial y asegurar la convivencia pacífica y la vigencia de un orden justo.</w:t>
      </w:r>
    </w:p>
    <w:p w:rsidR="00B22E10" w:rsidRDefault="002F7A49">
      <w:pPr>
        <w:shd w:val="clear" w:color="auto" w:fill="FFFFFF"/>
        <w:spacing w:before="200" w:line="276" w:lineRule="auto"/>
        <w:ind w:left="720" w:right="200"/>
        <w:jc w:val="both"/>
      </w:pPr>
      <w:r>
        <w:t xml:space="preserve">Las autoridades de la República están instituidas para </w:t>
      </w:r>
      <w:r>
        <w:rPr>
          <w:u w:val="single"/>
        </w:rPr>
        <w:t>proteger a todas las</w:t>
      </w:r>
      <w:r>
        <w:t xml:space="preserve"> </w:t>
      </w:r>
      <w:r>
        <w:rPr>
          <w:u w:val="single"/>
        </w:rPr>
        <w:t>personas residentes en Colombia, en su vida,</w:t>
      </w:r>
      <w:r>
        <w:t xml:space="preserve"> honra, bienes, creencias y demás der</w:t>
      </w:r>
      <w:r>
        <w:t>echos y libertades, y para asegurar el cumplimiento de los deberes sociales del Estado y de los particulares.</w:t>
      </w:r>
    </w:p>
    <w:p w:rsidR="00B22E10" w:rsidRDefault="002F7A49">
      <w:pPr>
        <w:shd w:val="clear" w:color="auto" w:fill="FFFFFF"/>
        <w:spacing w:before="200" w:line="276" w:lineRule="auto"/>
        <w:ind w:left="720"/>
        <w:jc w:val="both"/>
      </w:pPr>
      <w:r>
        <w:rPr>
          <w:b/>
        </w:rPr>
        <w:t xml:space="preserve">ARTÍCULO 11. </w:t>
      </w:r>
      <w:r>
        <w:t>El derecho a la vida es inviolable. No habrá pena de muerte.</w:t>
      </w:r>
    </w:p>
    <w:p w:rsidR="00B22E10" w:rsidRDefault="002F7A49">
      <w:pPr>
        <w:shd w:val="clear" w:color="auto" w:fill="FFFFFF"/>
        <w:spacing w:before="200" w:line="276" w:lineRule="auto"/>
        <w:ind w:left="720" w:right="200"/>
        <w:jc w:val="both"/>
        <w:rPr>
          <w:b/>
        </w:rPr>
      </w:pPr>
      <w:r>
        <w:rPr>
          <w:b/>
        </w:rPr>
        <w:t xml:space="preserve">ARTÍCULO 42. </w:t>
      </w:r>
      <w:r>
        <w:t xml:space="preserve">La familia es el núcleo fundamental de la sociedad. Se constituye por vínculos naturales o jurídicos, por la decisión libre de un hombre y una mujer de contraer matrimonio o por la voluntad responsable de conformarla. El Estado y la sociedad garantizan la </w:t>
      </w:r>
      <w:r>
        <w:t>protección integral de la familia. La ley podrá determinar el patrimonio familiar inalienable e inembargable</w:t>
      </w:r>
      <w:r>
        <w:rPr>
          <w:b/>
        </w:rPr>
        <w:t>.</w:t>
      </w:r>
    </w:p>
    <w:p w:rsidR="00B22E10" w:rsidRDefault="002F7A49">
      <w:pPr>
        <w:shd w:val="clear" w:color="auto" w:fill="FFFFFF"/>
        <w:spacing w:before="200" w:line="276" w:lineRule="auto"/>
        <w:ind w:left="720" w:right="200"/>
        <w:jc w:val="both"/>
      </w:pPr>
      <w:r>
        <w:rPr>
          <w:b/>
        </w:rPr>
        <w:t xml:space="preserve">ARTÍCULO 44. </w:t>
      </w:r>
      <w:r>
        <w:t xml:space="preserve">Son derechos fundamentales de los niños: la vida, la integridad física, la salud y la seguridad social, la alimentación equilibrada, </w:t>
      </w:r>
      <w:r>
        <w:t>su nombre y nacionalidad, tener una familia y no ser separados de ella, el cuidado y amor, la educación y la cultura, la recreación y la libre expresión de su opinión. Serán protegidos contra toda forma de abandono, violencia física o moral, secuestro, ven</w:t>
      </w:r>
      <w:r>
        <w:t>ta, abuso sexual, explotación laboral o económica y trabajos riesgosos. Gozarán también de los demás derechos consagrados en la Constitución, en las leyes y en los tratados internacionales ratificados por Colombia. La familia, la sociedad y el Estado tiene</w:t>
      </w:r>
      <w:r>
        <w:t>n la obligación de asistir y proteger al niño para garantizar su desarrollo armónico e integral y el ejercicio pleno de sus derechos. Cualquier persona puede exigir de la autoridad competente su cumplimiento y la sanción de los infractores. Los derechos de</w:t>
      </w:r>
      <w:r>
        <w:t xml:space="preserve"> los niños prevalecen sobre los derechos de los demás.</w:t>
      </w:r>
    </w:p>
    <w:p w:rsidR="00B22E10" w:rsidRDefault="002F7A49">
      <w:pPr>
        <w:shd w:val="clear" w:color="auto" w:fill="FFFFFF"/>
        <w:spacing w:before="200" w:line="276" w:lineRule="auto"/>
        <w:ind w:left="720" w:right="200"/>
        <w:jc w:val="both"/>
      </w:pPr>
      <w:r>
        <w:rPr>
          <w:b/>
        </w:rPr>
        <w:t xml:space="preserve">ARTÍCULO 49. </w:t>
      </w:r>
      <w:r>
        <w:t>La atención de la salud y el saneamiento ambiental son servicios públicos a cargo del Estado. Se garantiza a todas las personas el acceso a los servicios de promoción, protección y recuper</w:t>
      </w:r>
      <w:r>
        <w:t>ación de la salud. Corresponde al Estado organizar, dirigir y reglamentar la prestación de servicios de salud a los habitantes y de saneamiento ambiental conforme a los principios de eficiencia, universalidad y solidaridad. También, establecer las política</w:t>
      </w:r>
      <w:r>
        <w:t>s para la prestación de servicios de salud por entidades privadas, y ejercer su vigilancia y control. Así mismo, establecer las competencias de la Nación, las entidades territoriales y los particulares, y determinar los aportes a su cargo en los términos y</w:t>
      </w:r>
      <w:r>
        <w:t xml:space="preserve"> condiciones señalados en la ley. Los servicios de salud se organizarán en forma descentralizada, por niveles de atención y con participación de la comunidad. La ley señalará los términos en los cuales la atención básica para todos los habitantes será grat</w:t>
      </w:r>
      <w:r>
        <w:t>uita y obligatoria. Toda persona tiene el deber de procurar el cuidado integral de su salud y la de su comunidad.</w:t>
      </w:r>
    </w:p>
    <w:p w:rsidR="00B22E10" w:rsidRDefault="002F7A49">
      <w:pPr>
        <w:shd w:val="clear" w:color="auto" w:fill="FFFFFF"/>
        <w:spacing w:before="200" w:line="276" w:lineRule="auto"/>
        <w:ind w:left="720" w:right="220"/>
        <w:jc w:val="both"/>
      </w:pPr>
      <w:r>
        <w:rPr>
          <w:b/>
        </w:rPr>
        <w:t xml:space="preserve">ARTÍCULO 93. </w:t>
      </w:r>
      <w:r>
        <w:t>Los tratados y convenios internacionales ratificados por el Congreso, que reconocen los derechos humanos y que prohíben su limita</w:t>
      </w:r>
      <w:r>
        <w:t>ción en los estados de excepción, prevalecen en el orden interno. Los derechos y deberes consagrados en esta Carta, se interpretarán de conformidad con los tratados internacionales sobre derechos humanos ratificados por Colombia.</w:t>
      </w:r>
    </w:p>
    <w:p w:rsidR="00B22E10" w:rsidRDefault="002F7A49">
      <w:pPr>
        <w:shd w:val="clear" w:color="auto" w:fill="FFFFFF"/>
        <w:spacing w:before="200" w:line="276" w:lineRule="auto"/>
        <w:jc w:val="both"/>
        <w:rPr>
          <w:b/>
        </w:rPr>
      </w:pPr>
      <w:r>
        <w:rPr>
          <w:b/>
        </w:rPr>
        <w:t xml:space="preserve"> </w:t>
      </w:r>
    </w:p>
    <w:p w:rsidR="00B22E10" w:rsidRDefault="002F7A49">
      <w:pPr>
        <w:shd w:val="clear" w:color="auto" w:fill="FFFFFF"/>
        <w:spacing w:line="276" w:lineRule="auto"/>
        <w:jc w:val="both"/>
        <w:rPr>
          <w:b/>
          <w:sz w:val="22"/>
          <w:szCs w:val="22"/>
        </w:rPr>
      </w:pPr>
      <w:r>
        <w:rPr>
          <w:b/>
          <w:sz w:val="22"/>
          <w:szCs w:val="22"/>
        </w:rPr>
        <w:t>1.2</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b/>
          <w:sz w:val="22"/>
          <w:szCs w:val="22"/>
        </w:rPr>
        <w:t>LEYES Y SENTENCIA</w:t>
      </w:r>
      <w:r>
        <w:rPr>
          <w:b/>
          <w:sz w:val="22"/>
          <w:szCs w:val="22"/>
        </w:rPr>
        <w:t>S</w:t>
      </w:r>
    </w:p>
    <w:p w:rsidR="00B22E10" w:rsidRDefault="002F7A49">
      <w:pPr>
        <w:shd w:val="clear" w:color="auto" w:fill="FFFFFF"/>
        <w:spacing w:line="276" w:lineRule="auto"/>
        <w:jc w:val="both"/>
        <w:rPr>
          <w:b/>
          <w:sz w:val="22"/>
          <w:szCs w:val="22"/>
        </w:rPr>
      </w:pPr>
      <w:r>
        <w:rPr>
          <w:b/>
          <w:sz w:val="22"/>
          <w:szCs w:val="22"/>
        </w:rPr>
        <w:t xml:space="preserve"> </w:t>
      </w:r>
    </w:p>
    <w:p w:rsidR="00B22E10" w:rsidRDefault="002F7A49">
      <w:pPr>
        <w:shd w:val="clear" w:color="auto" w:fill="FFFFFF"/>
        <w:spacing w:line="242" w:lineRule="auto"/>
        <w:ind w:left="720" w:right="220"/>
        <w:jc w:val="both"/>
        <w:rPr>
          <w:b/>
          <w:sz w:val="22"/>
          <w:szCs w:val="22"/>
        </w:rPr>
      </w:pPr>
      <w:r>
        <w:rPr>
          <w:b/>
          <w:sz w:val="22"/>
          <w:szCs w:val="22"/>
        </w:rPr>
        <w:t>LEY ESTATUTARIA No. 1751/2015. Por medio de la cual se regula el derecho fundamental a la salud y se dictan otras disposiciones.</w:t>
      </w:r>
    </w:p>
    <w:p w:rsidR="00B22E10" w:rsidRDefault="002F7A49">
      <w:pPr>
        <w:shd w:val="clear" w:color="auto" w:fill="FFFFFF"/>
        <w:spacing w:before="240" w:line="276" w:lineRule="auto"/>
        <w:ind w:left="720" w:right="200"/>
        <w:jc w:val="both"/>
        <w:rPr>
          <w:sz w:val="22"/>
          <w:szCs w:val="22"/>
        </w:rPr>
      </w:pPr>
      <w:r>
        <w:rPr>
          <w:b/>
          <w:i/>
          <w:sz w:val="22"/>
          <w:szCs w:val="22"/>
        </w:rPr>
        <w:t>ARTÍCULO 2</w:t>
      </w:r>
      <w:r>
        <w:rPr>
          <w:b/>
          <w:sz w:val="22"/>
          <w:szCs w:val="22"/>
        </w:rPr>
        <w:t>. Naturaleza y contenido del derecho fundamental a la salud. El</w:t>
      </w:r>
      <w:r>
        <w:rPr>
          <w:sz w:val="22"/>
          <w:szCs w:val="22"/>
        </w:rPr>
        <w:t xml:space="preserve"> derecho fundamental a la salud es autónomo e irre</w:t>
      </w:r>
      <w:r>
        <w:rPr>
          <w:sz w:val="22"/>
          <w:szCs w:val="22"/>
        </w:rPr>
        <w:t>nunciable en lo individual y en lo colectivo.</w:t>
      </w:r>
    </w:p>
    <w:p w:rsidR="00B22E10" w:rsidRDefault="002F7A49">
      <w:pPr>
        <w:shd w:val="clear" w:color="auto" w:fill="FFFFFF"/>
        <w:spacing w:line="276" w:lineRule="auto"/>
        <w:jc w:val="both"/>
        <w:rPr>
          <w:sz w:val="22"/>
          <w:szCs w:val="22"/>
        </w:rPr>
      </w:pPr>
      <w:r>
        <w:rPr>
          <w:sz w:val="22"/>
          <w:szCs w:val="22"/>
        </w:rPr>
        <w:t xml:space="preserve"> </w:t>
      </w:r>
    </w:p>
    <w:p w:rsidR="00B22E10" w:rsidRDefault="002F7A49">
      <w:pPr>
        <w:shd w:val="clear" w:color="auto" w:fill="FFFFFF"/>
        <w:spacing w:line="276" w:lineRule="auto"/>
        <w:ind w:left="720" w:right="220"/>
        <w:jc w:val="both"/>
        <w:rPr>
          <w:b/>
          <w:sz w:val="22"/>
          <w:szCs w:val="22"/>
        </w:rPr>
      </w:pPr>
      <w:r>
        <w:rPr>
          <w:sz w:val="22"/>
          <w:szCs w:val="22"/>
        </w:rPr>
        <w:t>Comprende el acceso a los servicios de salud de manera oportuna, eficaz y con calidad para la preservación, el mejoramiento y la promoción de la salud. El Estado adoptará políticas para asegurar la igualdad de trato y oportunidades en el acceso a las activ</w:t>
      </w:r>
      <w:r>
        <w:rPr>
          <w:sz w:val="22"/>
          <w:szCs w:val="22"/>
        </w:rPr>
        <w:t xml:space="preserve">idades de promoción, prevención, diagnóstico, tratamiento, rehabilitación y paliación para todas las personas. De conformidad con el artículo 49 de la Constitución Política, su prestación como servicio público esencial obligatorio, se ejecuta bajo la </w:t>
      </w:r>
      <w:r>
        <w:rPr>
          <w:b/>
          <w:sz w:val="22"/>
          <w:szCs w:val="22"/>
        </w:rPr>
        <w:t>indel</w:t>
      </w:r>
      <w:r>
        <w:rPr>
          <w:b/>
          <w:sz w:val="22"/>
          <w:szCs w:val="22"/>
        </w:rPr>
        <w:t>egable dirección, supervisión, organización, regulación, coordinación y control del Estado.</w:t>
      </w:r>
    </w:p>
    <w:p w:rsidR="00B22E10" w:rsidRDefault="00B22E10">
      <w:pPr>
        <w:shd w:val="clear" w:color="auto" w:fill="FFFFFF"/>
        <w:spacing w:line="276" w:lineRule="auto"/>
        <w:jc w:val="both"/>
        <w:rPr>
          <w:b/>
          <w:sz w:val="22"/>
          <w:szCs w:val="22"/>
        </w:rPr>
      </w:pPr>
    </w:p>
    <w:p w:rsidR="00B22E10" w:rsidRDefault="002F7A49">
      <w:pPr>
        <w:shd w:val="clear" w:color="auto" w:fill="FFFFFF"/>
        <w:spacing w:before="240" w:line="276" w:lineRule="auto"/>
        <w:jc w:val="both"/>
        <w:rPr>
          <w:sz w:val="22"/>
          <w:szCs w:val="22"/>
        </w:rPr>
      </w:pPr>
      <w:r>
        <w:rPr>
          <w:b/>
          <w:sz w:val="22"/>
          <w:szCs w:val="22"/>
        </w:rPr>
        <w:t xml:space="preserve">Ley 1098 de 2006. “Por el cual se expide el código de la infancia y la adolescencia” </w:t>
      </w:r>
      <w:r>
        <w:rPr>
          <w:sz w:val="22"/>
          <w:szCs w:val="22"/>
        </w:rPr>
        <w:t>tiene como objeto “establecer normas sustantivas y procesales para la protecci</w:t>
      </w:r>
      <w:r>
        <w:rPr>
          <w:sz w:val="22"/>
          <w:szCs w:val="22"/>
        </w:rPr>
        <w:t xml:space="preserve">ón integral de los niños, las niñas y los adolescentes, para garantizar el ejercicio de sus derechos y libertades consagrados en los instrumentos internacionales de Derechos Humanos, en la Constitución Política y en las leyes, así como su restablecimiento </w:t>
      </w:r>
      <w:r>
        <w:rPr>
          <w:sz w:val="22"/>
          <w:szCs w:val="22"/>
        </w:rPr>
        <w:t>(…)” y su finalidad es la de “garantizar a los niños, a las niñas y a los adolescentes su pleno y armonioso desarrollo para que crezcan en el seno de la familia y de la comunidad, en un ambiente de felicidad, amor y comprensión (…)”;</w:t>
      </w:r>
    </w:p>
    <w:p w:rsidR="00B22E10" w:rsidRDefault="002F7A49">
      <w:pPr>
        <w:shd w:val="clear" w:color="auto" w:fill="FFFFFF"/>
        <w:spacing w:before="260" w:line="276" w:lineRule="auto"/>
        <w:jc w:val="both"/>
        <w:rPr>
          <w:b/>
          <w:sz w:val="22"/>
          <w:szCs w:val="22"/>
        </w:rPr>
      </w:pPr>
      <w:r>
        <w:rPr>
          <w:b/>
          <w:sz w:val="22"/>
          <w:szCs w:val="22"/>
        </w:rPr>
        <w:t>Artículo 17. Derecho a</w:t>
      </w:r>
      <w:r>
        <w:rPr>
          <w:b/>
          <w:sz w:val="22"/>
          <w:szCs w:val="22"/>
        </w:rPr>
        <w:t xml:space="preserve"> la vida y a la calidad de vida y a un ambiente sano.</w:t>
      </w:r>
    </w:p>
    <w:p w:rsidR="00B22E10" w:rsidRDefault="002F7A49">
      <w:pPr>
        <w:shd w:val="clear" w:color="auto" w:fill="FFFFFF"/>
        <w:spacing w:before="260" w:line="276" w:lineRule="auto"/>
        <w:jc w:val="both"/>
        <w:rPr>
          <w:b/>
          <w:sz w:val="22"/>
          <w:szCs w:val="22"/>
        </w:rPr>
      </w:pPr>
      <w:r>
        <w:rPr>
          <w:b/>
          <w:sz w:val="22"/>
          <w:szCs w:val="22"/>
        </w:rPr>
        <w:t xml:space="preserve"> </w:t>
      </w:r>
    </w:p>
    <w:p w:rsidR="00B22E10" w:rsidRDefault="002F7A49">
      <w:pPr>
        <w:shd w:val="clear" w:color="auto" w:fill="FFFFFF"/>
        <w:spacing w:line="276" w:lineRule="auto"/>
        <w:jc w:val="both"/>
        <w:rPr>
          <w:b/>
          <w:sz w:val="22"/>
          <w:szCs w:val="22"/>
        </w:rPr>
      </w:pPr>
      <w:r>
        <w:rPr>
          <w:b/>
          <w:sz w:val="22"/>
          <w:szCs w:val="22"/>
        </w:rPr>
        <w:t>Ley 1438 del 2011 “Por medio de la cual se reforma el Sistema General de Seguridad Social en Salud y se dictan otras disposiciones”</w:t>
      </w:r>
    </w:p>
    <w:p w:rsidR="00B22E10" w:rsidRDefault="002F7A49">
      <w:pPr>
        <w:shd w:val="clear" w:color="auto" w:fill="FFFFFF"/>
        <w:spacing w:before="260" w:line="276" w:lineRule="auto"/>
        <w:ind w:right="200"/>
        <w:jc w:val="both"/>
        <w:rPr>
          <w:sz w:val="22"/>
          <w:szCs w:val="22"/>
        </w:rPr>
      </w:pPr>
      <w:r>
        <w:rPr>
          <w:b/>
          <w:sz w:val="22"/>
          <w:szCs w:val="22"/>
        </w:rPr>
        <w:t xml:space="preserve">Artículo 1°. Objeto de la ley. </w:t>
      </w:r>
      <w:r>
        <w:rPr>
          <w:sz w:val="22"/>
          <w:szCs w:val="22"/>
        </w:rPr>
        <w:t>Esta ley tiene como objeto el fortale</w:t>
      </w:r>
      <w:r>
        <w:rPr>
          <w:sz w:val="22"/>
          <w:szCs w:val="22"/>
        </w:rPr>
        <w:t>cimiento del Sistema General de Seguridad Social en Salud, a través de un modelo de prestación del servicio público en salud que en el marco de la estrategia Atención Primaria en Salud permita la acción coordinada del Estado, las instituciones y la socieda</w:t>
      </w:r>
      <w:r>
        <w:rPr>
          <w:sz w:val="22"/>
          <w:szCs w:val="22"/>
        </w:rPr>
        <w:t>d para el mejoramiento de la salud y la creación de un ambiente sano y saludable, que brinde servicios de mayor calidad, incluyente y equitativo, donde el centro y objetivo de todos los esfuerzos sean los residentes en el país</w:t>
      </w:r>
    </w:p>
    <w:p w:rsidR="00B22E10" w:rsidRDefault="002F7A49">
      <w:pPr>
        <w:shd w:val="clear" w:color="auto" w:fill="FFFFFF"/>
        <w:spacing w:line="276" w:lineRule="auto"/>
        <w:jc w:val="both"/>
        <w:rPr>
          <w:b/>
          <w:sz w:val="22"/>
          <w:szCs w:val="22"/>
        </w:rPr>
      </w:pPr>
      <w:r>
        <w:rPr>
          <w:b/>
          <w:sz w:val="22"/>
          <w:szCs w:val="22"/>
        </w:rPr>
        <w:t xml:space="preserve"> </w:t>
      </w:r>
    </w:p>
    <w:p w:rsidR="00B22E10" w:rsidRDefault="002F7A49">
      <w:pPr>
        <w:shd w:val="clear" w:color="auto" w:fill="FFFFFF"/>
        <w:spacing w:line="276" w:lineRule="auto"/>
        <w:jc w:val="both"/>
        <w:rPr>
          <w:b/>
          <w:sz w:val="22"/>
          <w:szCs w:val="22"/>
        </w:rPr>
      </w:pPr>
      <w:r>
        <w:rPr>
          <w:b/>
          <w:sz w:val="22"/>
          <w:szCs w:val="22"/>
        </w:rPr>
        <w:t>1.3</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b/>
          <w:sz w:val="22"/>
          <w:szCs w:val="22"/>
        </w:rPr>
        <w:t>RESOLUCIONES</w:t>
      </w:r>
    </w:p>
    <w:p w:rsidR="00B22E10" w:rsidRDefault="002F7A49">
      <w:pPr>
        <w:shd w:val="clear" w:color="auto" w:fill="FFFFFF"/>
        <w:spacing w:before="260" w:line="276" w:lineRule="auto"/>
        <w:jc w:val="both"/>
        <w:rPr>
          <w:sz w:val="22"/>
          <w:szCs w:val="22"/>
        </w:rPr>
      </w:pPr>
      <w:r>
        <w:rPr>
          <w:b/>
          <w:sz w:val="22"/>
          <w:szCs w:val="22"/>
        </w:rPr>
        <w:t>Resolució</w:t>
      </w:r>
      <w:r>
        <w:rPr>
          <w:b/>
          <w:sz w:val="22"/>
          <w:szCs w:val="22"/>
        </w:rPr>
        <w:t>n No. 1515 de febrero 23 de 2016 ICBF,</w:t>
      </w:r>
      <w:r>
        <w:rPr>
          <w:sz w:val="22"/>
          <w:szCs w:val="22"/>
        </w:rPr>
        <w:t>lineamiento técnico del programa especializado para la atención a adolescentes y mujeres mayores de 18 años, gestantes o en periodo de lactancia, con sus derechos inobservados, amenazados o vulnerados.</w:t>
      </w:r>
    </w:p>
    <w:p w:rsidR="00B22E10" w:rsidRDefault="002F7A49">
      <w:pPr>
        <w:shd w:val="clear" w:color="auto" w:fill="FFFFFF"/>
        <w:spacing w:before="260" w:line="276" w:lineRule="auto"/>
        <w:jc w:val="both"/>
        <w:rPr>
          <w:b/>
          <w:sz w:val="22"/>
          <w:szCs w:val="22"/>
        </w:rPr>
      </w:pPr>
      <w:r>
        <w:rPr>
          <w:b/>
          <w:sz w:val="22"/>
          <w:szCs w:val="22"/>
        </w:rPr>
        <w:t xml:space="preserve"> </w:t>
      </w:r>
    </w:p>
    <w:p w:rsidR="00B22E10" w:rsidRDefault="002F7A49">
      <w:pPr>
        <w:shd w:val="clear" w:color="auto" w:fill="FFFFFF"/>
        <w:spacing w:line="276" w:lineRule="auto"/>
        <w:jc w:val="both"/>
        <w:rPr>
          <w:b/>
          <w:sz w:val="22"/>
          <w:szCs w:val="22"/>
        </w:rPr>
      </w:pPr>
      <w:r>
        <w:rPr>
          <w:b/>
          <w:sz w:val="22"/>
          <w:szCs w:val="22"/>
        </w:rPr>
        <w:t>1.4</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b/>
          <w:sz w:val="22"/>
          <w:szCs w:val="22"/>
        </w:rPr>
        <w:t>SENTENCIA</w:t>
      </w:r>
      <w:r>
        <w:rPr>
          <w:b/>
          <w:sz w:val="22"/>
          <w:szCs w:val="22"/>
        </w:rPr>
        <w:t>S</w:t>
      </w:r>
    </w:p>
    <w:p w:rsidR="00B22E10" w:rsidRDefault="002F7A49">
      <w:pPr>
        <w:shd w:val="clear" w:color="auto" w:fill="FFFFFF"/>
        <w:spacing w:line="276" w:lineRule="auto"/>
        <w:jc w:val="both"/>
        <w:rPr>
          <w:b/>
          <w:sz w:val="22"/>
          <w:szCs w:val="22"/>
        </w:rPr>
      </w:pPr>
      <w:r>
        <w:rPr>
          <w:b/>
          <w:sz w:val="22"/>
          <w:szCs w:val="22"/>
        </w:rPr>
        <w:t xml:space="preserve"> </w:t>
      </w:r>
    </w:p>
    <w:p w:rsidR="00B22E10" w:rsidRDefault="002F7A49">
      <w:pPr>
        <w:shd w:val="clear" w:color="auto" w:fill="FFFFFF"/>
        <w:spacing w:line="276" w:lineRule="auto"/>
        <w:jc w:val="both"/>
        <w:rPr>
          <w:b/>
          <w:sz w:val="22"/>
          <w:szCs w:val="22"/>
        </w:rPr>
      </w:pPr>
      <w:r>
        <w:rPr>
          <w:b/>
          <w:sz w:val="22"/>
          <w:szCs w:val="22"/>
        </w:rPr>
        <w:t>SENTENCIA T-760/08. Corte Constitucional. Magistrado Ponente Dr. MANUEL JOSÉ CEPEDA ESPINOSA. Estructura de la decisión</w:t>
      </w:r>
    </w:p>
    <w:p w:rsidR="00B22E10" w:rsidRDefault="002F7A49">
      <w:pPr>
        <w:shd w:val="clear" w:color="auto" w:fill="FFFFFF"/>
        <w:spacing w:line="276" w:lineRule="auto"/>
        <w:jc w:val="both"/>
        <w:rPr>
          <w:b/>
          <w:sz w:val="22"/>
          <w:szCs w:val="22"/>
        </w:rPr>
      </w:pPr>
      <w:r>
        <w:rPr>
          <w:b/>
          <w:sz w:val="22"/>
          <w:szCs w:val="22"/>
        </w:rPr>
        <w:t xml:space="preserve"> </w:t>
      </w:r>
    </w:p>
    <w:p w:rsidR="00B22E10" w:rsidRDefault="002F7A49">
      <w:pPr>
        <w:shd w:val="clear" w:color="auto" w:fill="FFFFFF"/>
        <w:spacing w:line="276" w:lineRule="auto"/>
        <w:ind w:left="1840" w:right="320"/>
        <w:jc w:val="both"/>
        <w:rPr>
          <w:sz w:val="22"/>
          <w:szCs w:val="22"/>
        </w:rPr>
      </w:pPr>
      <w:r>
        <w:rPr>
          <w:sz w:val="22"/>
          <w:szCs w:val="22"/>
        </w:rPr>
        <w:t xml:space="preserve">(…) </w:t>
      </w:r>
      <w:r>
        <w:rPr>
          <w:sz w:val="22"/>
          <w:szCs w:val="22"/>
          <w:u w:val="single"/>
        </w:rPr>
        <w:t>Primero, se señala que el derecho a la salud es un derecho fundamental</w:t>
      </w:r>
      <w:r>
        <w:rPr>
          <w:sz w:val="22"/>
          <w:szCs w:val="22"/>
        </w:rPr>
        <w:t>, así sea considerado usualmente por la doctrina como un derecho social y, además, tenga una importante dimensión prestacional (…) (subrayado fuera de texto)</w:t>
      </w:r>
    </w:p>
    <w:p w:rsidR="00B22E10" w:rsidRDefault="002F7A49">
      <w:pPr>
        <w:shd w:val="clear" w:color="auto" w:fill="FFFFFF"/>
        <w:spacing w:before="240" w:line="276" w:lineRule="auto"/>
        <w:ind w:left="1440"/>
        <w:jc w:val="both"/>
        <w:rPr>
          <w:b/>
          <w:sz w:val="22"/>
          <w:szCs w:val="22"/>
        </w:rPr>
      </w:pPr>
      <w:r>
        <w:rPr>
          <w:b/>
          <w:sz w:val="22"/>
          <w:szCs w:val="22"/>
        </w:rPr>
        <w:t>El derecho a la salud como derecho fundamental</w:t>
      </w:r>
    </w:p>
    <w:p w:rsidR="00B22E10" w:rsidRDefault="00B22E10">
      <w:pPr>
        <w:shd w:val="clear" w:color="auto" w:fill="FFFFFF"/>
        <w:spacing w:line="276" w:lineRule="auto"/>
        <w:jc w:val="both"/>
        <w:rPr>
          <w:b/>
          <w:sz w:val="22"/>
          <w:szCs w:val="22"/>
        </w:rPr>
      </w:pPr>
    </w:p>
    <w:p w:rsidR="00B22E10" w:rsidRDefault="002F7A49">
      <w:pPr>
        <w:shd w:val="clear" w:color="auto" w:fill="FFFFFF"/>
        <w:spacing w:line="276" w:lineRule="auto"/>
        <w:ind w:left="1440" w:right="200"/>
        <w:jc w:val="both"/>
        <w:rPr>
          <w:sz w:val="22"/>
          <w:szCs w:val="22"/>
        </w:rPr>
      </w:pPr>
      <w:r>
        <w:rPr>
          <w:sz w:val="22"/>
          <w:szCs w:val="22"/>
        </w:rPr>
        <w:t>El derecho a la salud es un derecho constitucional</w:t>
      </w:r>
      <w:r>
        <w:rPr>
          <w:sz w:val="22"/>
          <w:szCs w:val="22"/>
        </w:rPr>
        <w:t xml:space="preserve"> fundamental. La Corte lo ha protegido por tres vías. </w:t>
      </w:r>
      <w:r>
        <w:rPr>
          <w:sz w:val="22"/>
          <w:szCs w:val="22"/>
          <w:u w:val="single"/>
        </w:rPr>
        <w:t>La primera ha sido estableciendo su relación de conexidad con el derecho a la vida,</w:t>
      </w:r>
      <w:r>
        <w:rPr>
          <w:sz w:val="22"/>
          <w:szCs w:val="22"/>
        </w:rPr>
        <w:t xml:space="preserve"> </w:t>
      </w:r>
      <w:r>
        <w:rPr>
          <w:sz w:val="22"/>
          <w:szCs w:val="22"/>
          <w:u w:val="single"/>
        </w:rPr>
        <w:t>el derecho a la integridad personal y el derecho a la dignidad</w:t>
      </w:r>
      <w:r>
        <w:rPr>
          <w:sz w:val="22"/>
          <w:szCs w:val="22"/>
        </w:rPr>
        <w:t xml:space="preserve"> </w:t>
      </w:r>
      <w:r>
        <w:rPr>
          <w:sz w:val="22"/>
          <w:szCs w:val="22"/>
          <w:u w:val="single"/>
        </w:rPr>
        <w:t>humana</w:t>
      </w:r>
      <w:r>
        <w:rPr>
          <w:sz w:val="22"/>
          <w:szCs w:val="22"/>
        </w:rPr>
        <w:t xml:space="preserve">, lo cual le ha permitido a la Corte identificar </w:t>
      </w:r>
      <w:r>
        <w:rPr>
          <w:sz w:val="22"/>
          <w:szCs w:val="22"/>
        </w:rPr>
        <w:t>aspectos del núcleo esencial del derecho a la salud y admitir su tutelabilidad; la segunda ha sido reconociendo su naturaleza fundamental en contextos donde el tutelante es un sujeto de especial protección, lo cual ha llevado a la Corte a asegurar que un c</w:t>
      </w:r>
      <w:r>
        <w:rPr>
          <w:sz w:val="22"/>
          <w:szCs w:val="22"/>
        </w:rPr>
        <w:t>ierto ámbito de servicios de salud requeridos sea efectivamente garantizado; la tercera, es afirmando en general la fundamentalidad del derecho a la salud en lo que respecta a un ámbito básico, el cual coincide con los servicios contemplados por la Constit</w:t>
      </w:r>
      <w:r>
        <w:rPr>
          <w:sz w:val="22"/>
          <w:szCs w:val="22"/>
        </w:rPr>
        <w:t>ución, el bloque de constitucionalidad, la ley y los planes obligatorios de salud, con las extensiones necesarias para proteger una vida digna. A continuación, pasa la Corte a delimitar y caracterizar el derecho a la salud, en los términos en que ha sido c</w:t>
      </w:r>
      <w:r>
        <w:rPr>
          <w:sz w:val="22"/>
          <w:szCs w:val="22"/>
        </w:rPr>
        <w:t>onsignado por la Constitución, el bloque de constitucionalidad, la Ley y la jurisprudencia.</w:t>
      </w:r>
    </w:p>
    <w:p w:rsidR="00B22E10" w:rsidRDefault="002F7A49">
      <w:pPr>
        <w:shd w:val="clear" w:color="auto" w:fill="FFFFFF"/>
        <w:spacing w:before="240" w:line="276" w:lineRule="auto"/>
        <w:ind w:left="1440"/>
        <w:jc w:val="both"/>
        <w:rPr>
          <w:b/>
          <w:sz w:val="22"/>
          <w:szCs w:val="22"/>
        </w:rPr>
      </w:pPr>
      <w:r>
        <w:rPr>
          <w:b/>
          <w:sz w:val="22"/>
          <w:szCs w:val="22"/>
        </w:rPr>
        <w:t>Noción de salud</w:t>
      </w:r>
    </w:p>
    <w:p w:rsidR="00B22E10" w:rsidRDefault="002F7A49">
      <w:pPr>
        <w:shd w:val="clear" w:color="auto" w:fill="FFFFFF"/>
        <w:spacing w:line="276" w:lineRule="auto"/>
        <w:jc w:val="both"/>
        <w:rPr>
          <w:b/>
          <w:sz w:val="22"/>
          <w:szCs w:val="22"/>
        </w:rPr>
      </w:pPr>
      <w:r>
        <w:rPr>
          <w:b/>
          <w:sz w:val="22"/>
          <w:szCs w:val="22"/>
        </w:rPr>
        <w:t xml:space="preserve"> </w:t>
      </w:r>
    </w:p>
    <w:p w:rsidR="00B22E10" w:rsidRDefault="002F7A49">
      <w:pPr>
        <w:shd w:val="clear" w:color="auto" w:fill="FFFFFF"/>
        <w:spacing w:line="276" w:lineRule="auto"/>
        <w:ind w:left="1440" w:right="200"/>
        <w:jc w:val="both"/>
        <w:rPr>
          <w:sz w:val="22"/>
          <w:szCs w:val="22"/>
        </w:rPr>
      </w:pPr>
      <w:r>
        <w:rPr>
          <w:sz w:val="22"/>
          <w:szCs w:val="22"/>
        </w:rPr>
        <w:t>La jurisprudencia constitucional, desde su inicio, ha reconocido que la salud "(…) es un estado variable, susceptible de afectaciones múltiples, q</w:t>
      </w:r>
      <w:r>
        <w:rPr>
          <w:sz w:val="22"/>
          <w:szCs w:val="22"/>
        </w:rPr>
        <w:t>ue inciden en mayor o menor medida en la vida del individuo."6 La ‘salud’, por tanto, no es una condición de la persona que se tiene o no se tiene. Se trata de una cuestión de grado, que ha de ser valorada específicamente en cada caso. Así pues, la salud n</w:t>
      </w:r>
      <w:r>
        <w:rPr>
          <w:sz w:val="22"/>
          <w:szCs w:val="22"/>
        </w:rPr>
        <w:t xml:space="preserve">o sólo consiste en la ‘ausencia de afecciones y enfermedades’ en una persona. Siguiendo a la OMS, la jurisprudencia constitucional ha señalado que la salud es ‘un estado completo de bienestar físico, mental y social’ dentro del nivel posible de salud para </w:t>
      </w:r>
      <w:r>
        <w:rPr>
          <w:sz w:val="22"/>
          <w:szCs w:val="22"/>
        </w:rPr>
        <w:t xml:space="preserve">una persona.7 </w:t>
      </w:r>
      <w:r>
        <w:rPr>
          <w:sz w:val="22"/>
          <w:szCs w:val="22"/>
          <w:u w:val="single"/>
        </w:rPr>
        <w:t>En términos del bloque de constitucionalidad, el derecho a la salud comprende</w:t>
      </w:r>
      <w:r>
        <w:rPr>
          <w:sz w:val="22"/>
          <w:szCs w:val="22"/>
        </w:rPr>
        <w:t xml:space="preserve"> </w:t>
      </w:r>
      <w:r>
        <w:rPr>
          <w:sz w:val="22"/>
          <w:szCs w:val="22"/>
          <w:u w:val="single"/>
        </w:rPr>
        <w:t>el</w:t>
      </w:r>
      <w:r>
        <w:rPr>
          <w:sz w:val="22"/>
          <w:szCs w:val="22"/>
        </w:rPr>
        <w:t xml:space="preserve"> </w:t>
      </w:r>
      <w:r>
        <w:rPr>
          <w:sz w:val="22"/>
          <w:szCs w:val="22"/>
          <w:u w:val="single"/>
        </w:rPr>
        <w:t>derecho al nivel más alto de salud posible dentro de cada Estado, el cual se alcanza</w:t>
      </w:r>
      <w:r>
        <w:rPr>
          <w:sz w:val="22"/>
          <w:szCs w:val="22"/>
        </w:rPr>
        <w:t xml:space="preserve"> </w:t>
      </w:r>
      <w:r>
        <w:rPr>
          <w:sz w:val="22"/>
          <w:szCs w:val="22"/>
          <w:u w:val="single"/>
        </w:rPr>
        <w:t>de</w:t>
      </w:r>
      <w:r>
        <w:rPr>
          <w:sz w:val="22"/>
          <w:szCs w:val="22"/>
        </w:rPr>
        <w:t xml:space="preserve"> </w:t>
      </w:r>
      <w:r>
        <w:rPr>
          <w:sz w:val="22"/>
          <w:szCs w:val="22"/>
          <w:u w:val="single"/>
        </w:rPr>
        <w:t>manera progresiva.</w:t>
      </w:r>
      <w:r>
        <w:rPr>
          <w:sz w:val="22"/>
          <w:szCs w:val="22"/>
        </w:rPr>
        <w:t xml:space="preserve"> No obstante, la jurisprudencia también ha reconocido q</w:t>
      </w:r>
      <w:r>
        <w:rPr>
          <w:sz w:val="22"/>
          <w:szCs w:val="22"/>
        </w:rPr>
        <w:t>ue la noción de salud no es unívoca y absoluta. En estado social y democrático de derecho que se reconoce a sí mismo como pluriétnico y multicultural, la noción constitucional de salud es sensible a las diferencias tanto sociales como ambientales que exist</w:t>
      </w:r>
      <w:r>
        <w:rPr>
          <w:sz w:val="22"/>
          <w:szCs w:val="22"/>
        </w:rPr>
        <w:t>an entre los diferentes grupos de personas que viven en Colombia.8 (Subrayado fuera de texto).</w:t>
      </w:r>
    </w:p>
    <w:p w:rsidR="00B22E10" w:rsidRDefault="002F7A49">
      <w:pPr>
        <w:shd w:val="clear" w:color="auto" w:fill="FFFFFF"/>
        <w:spacing w:before="240" w:line="276" w:lineRule="auto"/>
        <w:jc w:val="both"/>
        <w:rPr>
          <w:sz w:val="22"/>
          <w:szCs w:val="22"/>
        </w:rPr>
      </w:pPr>
      <w:r>
        <w:rPr>
          <w:sz w:val="22"/>
          <w:szCs w:val="22"/>
        </w:rPr>
        <w:t xml:space="preserve"> </w:t>
      </w:r>
    </w:p>
    <w:p w:rsidR="00B22E10" w:rsidRDefault="002F7A49">
      <w:pPr>
        <w:shd w:val="clear" w:color="auto" w:fill="FFFFFF"/>
        <w:spacing w:line="276" w:lineRule="auto"/>
        <w:ind w:left="1440"/>
        <w:jc w:val="both"/>
        <w:rPr>
          <w:b/>
          <w:sz w:val="22"/>
          <w:szCs w:val="22"/>
        </w:rPr>
      </w:pPr>
      <w:r>
        <w:rPr>
          <w:b/>
          <w:sz w:val="22"/>
          <w:szCs w:val="22"/>
        </w:rPr>
        <w:t>El derecho fundamental a la salud.</w:t>
      </w:r>
    </w:p>
    <w:p w:rsidR="00B22E10" w:rsidRDefault="002F7A49">
      <w:pPr>
        <w:shd w:val="clear" w:color="auto" w:fill="FFFFFF"/>
        <w:spacing w:line="276" w:lineRule="auto"/>
        <w:jc w:val="both"/>
        <w:rPr>
          <w:b/>
          <w:sz w:val="22"/>
          <w:szCs w:val="22"/>
        </w:rPr>
      </w:pPr>
      <w:r>
        <w:rPr>
          <w:b/>
          <w:sz w:val="22"/>
          <w:szCs w:val="22"/>
        </w:rPr>
        <w:t xml:space="preserve"> </w:t>
      </w:r>
    </w:p>
    <w:p w:rsidR="00B22E10" w:rsidRDefault="002F7A49">
      <w:pPr>
        <w:shd w:val="clear" w:color="auto" w:fill="FFFFFF"/>
        <w:spacing w:line="276" w:lineRule="auto"/>
        <w:ind w:left="1440" w:right="200"/>
        <w:jc w:val="both"/>
        <w:rPr>
          <w:sz w:val="22"/>
          <w:szCs w:val="22"/>
        </w:rPr>
      </w:pPr>
      <w:r>
        <w:rPr>
          <w:sz w:val="22"/>
          <w:szCs w:val="22"/>
        </w:rPr>
        <w:t xml:space="preserve">"Hoy se muestra artificioso predicar la exigencia de conexidad respecto de derechos fundamentales los cuales tienen todos </w:t>
      </w:r>
      <w:r>
        <w:rPr>
          <w:sz w:val="22"/>
          <w:szCs w:val="22"/>
        </w:rPr>
        <w:t>– unos más que otros - una connotación prestacional innegable. Ese requerimiento debe entenderse, en otros términos, es decir, en tanto enlace estrecho entre un conjunto de circunstancias que se presentan en el caso concreto y la necesidad de acudir a la a</w:t>
      </w:r>
      <w:r>
        <w:rPr>
          <w:sz w:val="22"/>
          <w:szCs w:val="22"/>
        </w:rPr>
        <w:t>cción de tutela en cuanto vía para hacer efectivo el derecho fundamental. Así, a propósito del derecho fundamental a la salud puede decirse que respecto de las prestaciones excluidas de las categorías legales y reglamentarias únicamente podrá acudirse al a</w:t>
      </w:r>
      <w:r>
        <w:rPr>
          <w:sz w:val="22"/>
          <w:szCs w:val="22"/>
        </w:rPr>
        <w:t>mparo por vía de acción de tutela en aquellos eventos en los cuales logre demostrarse que la falta de reconocimiento del derecho fundamental a la salud (i) significa a un mismo tiempo lesionar de manera seria y directa la dignidad humana de la persona afec</w:t>
      </w:r>
      <w:r>
        <w:rPr>
          <w:sz w:val="22"/>
          <w:szCs w:val="22"/>
        </w:rPr>
        <w:t>tada con la vulneración del derecho; (ii) se pregona de un sujeto de especial protección constitucional35 y/o (iii) implica poner a la persona afectada en una condición de indefensión por su falta de capacidad de pago para hacer valer ese derecho.</w:t>
      </w:r>
    </w:p>
    <w:p w:rsidR="00B22E10" w:rsidRDefault="00B22E10">
      <w:pPr>
        <w:shd w:val="clear" w:color="auto" w:fill="FFFFFF"/>
        <w:spacing w:line="276" w:lineRule="auto"/>
        <w:jc w:val="both"/>
        <w:rPr>
          <w:sz w:val="22"/>
          <w:szCs w:val="22"/>
        </w:rPr>
      </w:pPr>
    </w:p>
    <w:p w:rsidR="00B22E10" w:rsidRDefault="002F7A49">
      <w:pPr>
        <w:shd w:val="clear" w:color="auto" w:fill="FFFFFF"/>
        <w:spacing w:before="220" w:line="276" w:lineRule="auto"/>
        <w:ind w:left="1440" w:right="200"/>
        <w:jc w:val="both"/>
        <w:rPr>
          <w:sz w:val="22"/>
          <w:szCs w:val="22"/>
        </w:rPr>
      </w:pPr>
      <w:r>
        <w:rPr>
          <w:i/>
          <w:sz w:val="22"/>
          <w:szCs w:val="22"/>
          <w:u w:val="single"/>
        </w:rPr>
        <w:t>Lo anterior, justamente por cuanto el Estado - bajo aplicación de los principios de</w:t>
      </w:r>
      <w:r>
        <w:rPr>
          <w:i/>
          <w:sz w:val="22"/>
          <w:szCs w:val="22"/>
        </w:rPr>
        <w:t xml:space="preserve"> </w:t>
      </w:r>
      <w:r>
        <w:rPr>
          <w:i/>
          <w:sz w:val="22"/>
          <w:szCs w:val="22"/>
          <w:u w:val="single"/>
        </w:rPr>
        <w:t>equidad,</w:t>
      </w:r>
      <w:r>
        <w:rPr>
          <w:i/>
          <w:sz w:val="22"/>
          <w:szCs w:val="22"/>
        </w:rPr>
        <w:t xml:space="preserve"> </w:t>
      </w:r>
      <w:r>
        <w:rPr>
          <w:i/>
          <w:sz w:val="22"/>
          <w:szCs w:val="22"/>
          <w:u w:val="single"/>
        </w:rPr>
        <w:t>solidaridad, subsidiariedad y eficiencia - ha de racionalizar la prestación</w:t>
      </w:r>
      <w:r>
        <w:rPr>
          <w:i/>
          <w:sz w:val="22"/>
          <w:szCs w:val="22"/>
        </w:rPr>
        <w:t xml:space="preserve"> </w:t>
      </w:r>
      <w:r>
        <w:rPr>
          <w:i/>
          <w:sz w:val="22"/>
          <w:szCs w:val="22"/>
          <w:u w:val="single"/>
        </w:rPr>
        <w:t>satisfactoria del</w:t>
      </w:r>
      <w:r>
        <w:rPr>
          <w:i/>
          <w:sz w:val="22"/>
          <w:szCs w:val="22"/>
        </w:rPr>
        <w:t xml:space="preserve"> </w:t>
      </w:r>
      <w:r>
        <w:rPr>
          <w:i/>
          <w:sz w:val="22"/>
          <w:szCs w:val="22"/>
          <w:u w:val="single"/>
        </w:rPr>
        <w:t>servicio de salud a su cargo o a cargo de los particulares que obran en calidad de autoridades</w:t>
      </w:r>
      <w:r>
        <w:rPr>
          <w:i/>
          <w:sz w:val="22"/>
          <w:szCs w:val="22"/>
        </w:rPr>
        <w:t xml:space="preserve"> </w:t>
      </w:r>
      <w:r>
        <w:rPr>
          <w:i/>
          <w:sz w:val="22"/>
          <w:szCs w:val="22"/>
          <w:u w:val="single"/>
        </w:rPr>
        <w:t>públicas, atendiendo, de modo prioritario, a quienes se</w:t>
      </w:r>
      <w:r>
        <w:rPr>
          <w:i/>
          <w:sz w:val="22"/>
          <w:szCs w:val="22"/>
        </w:rPr>
        <w:t xml:space="preserve"> </w:t>
      </w:r>
      <w:r>
        <w:rPr>
          <w:i/>
          <w:sz w:val="22"/>
          <w:szCs w:val="22"/>
          <w:u w:val="single"/>
        </w:rPr>
        <w:t>encuentren en cualquiera de las</w:t>
      </w:r>
      <w:r>
        <w:rPr>
          <w:i/>
          <w:sz w:val="22"/>
          <w:szCs w:val="22"/>
        </w:rPr>
        <w:t xml:space="preserve"> </w:t>
      </w:r>
      <w:r>
        <w:rPr>
          <w:i/>
          <w:sz w:val="22"/>
          <w:szCs w:val="22"/>
          <w:u w:val="single"/>
        </w:rPr>
        <w:t>circunstancias mencionadas con antelación. Al respecto, la Corte Constitu</w:t>
      </w:r>
      <w:r>
        <w:rPr>
          <w:i/>
          <w:sz w:val="22"/>
          <w:szCs w:val="22"/>
          <w:u w:val="single"/>
        </w:rPr>
        <w:t>cional ha expresado</w:t>
      </w:r>
      <w:r>
        <w:rPr>
          <w:i/>
          <w:sz w:val="22"/>
          <w:szCs w:val="22"/>
        </w:rPr>
        <w:t xml:space="preserve"> </w:t>
      </w:r>
      <w:r>
        <w:rPr>
          <w:i/>
          <w:sz w:val="22"/>
          <w:szCs w:val="22"/>
          <w:u w:val="single"/>
        </w:rPr>
        <w:t>mediante jurisprudencia reiterada</w:t>
      </w:r>
      <w:r>
        <w:rPr>
          <w:i/>
          <w:sz w:val="22"/>
          <w:szCs w:val="22"/>
        </w:rPr>
        <w:t xml:space="preserve"> </w:t>
      </w:r>
      <w:r>
        <w:rPr>
          <w:i/>
          <w:sz w:val="22"/>
          <w:szCs w:val="22"/>
          <w:u w:val="single"/>
        </w:rPr>
        <w:t>que, bajo estas circunstancias, aún tratándose de</w:t>
      </w:r>
      <w:r>
        <w:rPr>
          <w:i/>
          <w:sz w:val="22"/>
          <w:szCs w:val="22"/>
        </w:rPr>
        <w:t xml:space="preserve"> </w:t>
      </w:r>
      <w:r>
        <w:rPr>
          <w:i/>
          <w:sz w:val="22"/>
          <w:szCs w:val="22"/>
          <w:u w:val="single"/>
        </w:rPr>
        <w:t>prestaciones excluidas del POS,</w:t>
      </w:r>
      <w:r>
        <w:rPr>
          <w:i/>
          <w:sz w:val="22"/>
          <w:szCs w:val="22"/>
        </w:rPr>
        <w:t xml:space="preserve"> </w:t>
      </w:r>
      <w:r>
        <w:rPr>
          <w:i/>
          <w:sz w:val="22"/>
          <w:szCs w:val="22"/>
          <w:u w:val="single"/>
        </w:rPr>
        <w:t>del POSS, del PAB, del PAC y de aquellas obligaciones</w:t>
      </w:r>
      <w:r>
        <w:rPr>
          <w:i/>
          <w:sz w:val="22"/>
          <w:szCs w:val="22"/>
        </w:rPr>
        <w:t xml:space="preserve"> </w:t>
      </w:r>
      <w:r>
        <w:rPr>
          <w:i/>
          <w:sz w:val="22"/>
          <w:szCs w:val="22"/>
          <w:u w:val="single"/>
        </w:rPr>
        <w:t>previstas por la Observación</w:t>
      </w:r>
      <w:r>
        <w:rPr>
          <w:i/>
          <w:sz w:val="22"/>
          <w:szCs w:val="22"/>
        </w:rPr>
        <w:t xml:space="preserve"> </w:t>
      </w:r>
      <w:r>
        <w:rPr>
          <w:i/>
          <w:sz w:val="22"/>
          <w:szCs w:val="22"/>
          <w:u w:val="single"/>
        </w:rPr>
        <w:t>General 14, procede la tutela como me</w:t>
      </w:r>
      <w:r>
        <w:rPr>
          <w:i/>
          <w:sz w:val="22"/>
          <w:szCs w:val="22"/>
          <w:u w:val="single"/>
        </w:rPr>
        <w:t>canismo para obtener el</w:t>
      </w:r>
      <w:r>
        <w:rPr>
          <w:i/>
          <w:sz w:val="22"/>
          <w:szCs w:val="22"/>
        </w:rPr>
        <w:t xml:space="preserve"> </w:t>
      </w:r>
      <w:r>
        <w:rPr>
          <w:i/>
          <w:sz w:val="22"/>
          <w:szCs w:val="22"/>
          <w:u w:val="single"/>
        </w:rPr>
        <w:t>amparo del derecho constitucional fundamental a la salud.</w:t>
      </w:r>
      <w:r>
        <w:rPr>
          <w:sz w:val="22"/>
          <w:szCs w:val="22"/>
          <w:u w:val="single"/>
        </w:rPr>
        <w:t>"</w:t>
      </w:r>
      <w:r>
        <w:rPr>
          <w:sz w:val="22"/>
          <w:szCs w:val="22"/>
        </w:rPr>
        <w:t>36 (Subrayado fuera de texto).</w:t>
      </w:r>
    </w:p>
    <w:p w:rsidR="00B22E10" w:rsidRDefault="002F7A49">
      <w:pPr>
        <w:shd w:val="clear" w:color="auto" w:fill="FFFFFF"/>
        <w:spacing w:before="260" w:line="276" w:lineRule="auto"/>
        <w:ind w:left="1440"/>
        <w:jc w:val="both"/>
        <w:rPr>
          <w:b/>
          <w:sz w:val="22"/>
          <w:szCs w:val="22"/>
        </w:rPr>
      </w:pPr>
      <w:r>
        <w:rPr>
          <w:b/>
          <w:sz w:val="22"/>
          <w:szCs w:val="22"/>
        </w:rPr>
        <w:t>Convención de los Derechos del Niño 1989.</w:t>
      </w:r>
    </w:p>
    <w:p w:rsidR="00B22E10" w:rsidRDefault="002F7A49">
      <w:pPr>
        <w:shd w:val="clear" w:color="auto" w:fill="FFFFFF"/>
        <w:spacing w:line="276" w:lineRule="auto"/>
        <w:jc w:val="both"/>
        <w:rPr>
          <w:b/>
          <w:sz w:val="22"/>
          <w:szCs w:val="22"/>
        </w:rPr>
      </w:pPr>
      <w:r>
        <w:rPr>
          <w:b/>
          <w:sz w:val="22"/>
          <w:szCs w:val="22"/>
        </w:rPr>
        <w:t xml:space="preserve"> </w:t>
      </w:r>
    </w:p>
    <w:p w:rsidR="00B22E10" w:rsidRDefault="002F7A49">
      <w:pPr>
        <w:shd w:val="clear" w:color="auto" w:fill="FFFFFF"/>
        <w:spacing w:line="276" w:lineRule="auto"/>
        <w:ind w:left="1440" w:right="200"/>
        <w:jc w:val="both"/>
        <w:rPr>
          <w:sz w:val="22"/>
          <w:szCs w:val="22"/>
        </w:rPr>
      </w:pPr>
      <w:r>
        <w:rPr>
          <w:sz w:val="22"/>
          <w:szCs w:val="22"/>
        </w:rPr>
        <w:t>La Convención sobre los Derechos del Niño de 1989, impone la obligación a los Estados Partes de ado</w:t>
      </w:r>
      <w:r>
        <w:rPr>
          <w:sz w:val="22"/>
          <w:szCs w:val="22"/>
        </w:rPr>
        <w:t>ptar las medidas legislativas, administrativas, sociales y educativas para proteger a los niños, niñas y adolescentes de toda forma de violencia y abuso.</w:t>
      </w:r>
    </w:p>
    <w:p w:rsidR="00B22E10" w:rsidRDefault="00B22E10">
      <w:pPr>
        <w:shd w:val="clear" w:color="auto" w:fill="FFFFFF"/>
        <w:spacing w:line="276" w:lineRule="auto"/>
        <w:ind w:left="1440" w:right="200"/>
        <w:jc w:val="both"/>
        <w:rPr>
          <w:sz w:val="22"/>
          <w:szCs w:val="22"/>
        </w:rPr>
      </w:pPr>
    </w:p>
    <w:p w:rsidR="00B22E10" w:rsidRDefault="00B22E10">
      <w:pPr>
        <w:shd w:val="clear" w:color="auto" w:fill="FFFFFF"/>
        <w:spacing w:line="276" w:lineRule="auto"/>
        <w:jc w:val="both"/>
        <w:rPr>
          <w:b/>
        </w:rPr>
      </w:pPr>
    </w:p>
    <w:p w:rsidR="00B22E10" w:rsidRDefault="002F7A49">
      <w:pPr>
        <w:numPr>
          <w:ilvl w:val="0"/>
          <w:numId w:val="2"/>
        </w:numPr>
        <w:pBdr>
          <w:top w:val="nil"/>
          <w:left w:val="nil"/>
          <w:bottom w:val="nil"/>
          <w:right w:val="nil"/>
          <w:between w:val="nil"/>
        </w:pBdr>
        <w:spacing w:before="100" w:after="100"/>
        <w:rPr>
          <w:highlight w:val="white"/>
        </w:rPr>
      </w:pPr>
      <w:r>
        <w:rPr>
          <w:b/>
          <w:highlight w:val="white"/>
        </w:rPr>
        <w:t>COMPETENCIA DEL CONCEJO</w:t>
      </w:r>
    </w:p>
    <w:p w:rsidR="00B22E10" w:rsidRDefault="00B22E10">
      <w:pPr>
        <w:pBdr>
          <w:top w:val="nil"/>
          <w:left w:val="nil"/>
          <w:bottom w:val="nil"/>
          <w:right w:val="nil"/>
          <w:between w:val="nil"/>
        </w:pBdr>
        <w:spacing w:before="1"/>
        <w:ind w:right="554"/>
        <w:jc w:val="both"/>
      </w:pPr>
    </w:p>
    <w:p w:rsidR="00B22E10" w:rsidRDefault="002F7A49">
      <w:pPr>
        <w:jc w:val="both"/>
      </w:pPr>
      <w:r>
        <w:t>El Concejo de Bogotá es competente para regular la materia en virtud de lo establecido en el numeral 1  del artículo 12 del Decreto-Ley 1421 de 1993:</w:t>
      </w:r>
    </w:p>
    <w:p w:rsidR="00B22E10" w:rsidRDefault="00B22E10">
      <w:pPr>
        <w:jc w:val="both"/>
      </w:pPr>
    </w:p>
    <w:p w:rsidR="00B22E10" w:rsidRDefault="00B22E10">
      <w:pPr>
        <w:jc w:val="both"/>
      </w:pPr>
    </w:p>
    <w:p w:rsidR="00B22E10" w:rsidRDefault="002F7A49">
      <w:pPr>
        <w:ind w:left="720"/>
        <w:jc w:val="both"/>
        <w:rPr>
          <w:i/>
        </w:rPr>
      </w:pPr>
      <w:r>
        <w:t>“</w:t>
      </w:r>
      <w:r>
        <w:rPr>
          <w:i/>
        </w:rPr>
        <w:t xml:space="preserve">ARTÍCULO 12. ATRIBUCIONES. Corresponde al Concejo Distrital, de conformidad con la Constitución y a la </w:t>
      </w:r>
      <w:r>
        <w:rPr>
          <w:i/>
        </w:rPr>
        <w:t>ley:</w:t>
      </w:r>
    </w:p>
    <w:p w:rsidR="00B22E10" w:rsidRDefault="00B22E10">
      <w:pPr>
        <w:ind w:left="720"/>
        <w:jc w:val="both"/>
        <w:rPr>
          <w:i/>
        </w:rPr>
      </w:pPr>
    </w:p>
    <w:p w:rsidR="00B22E10" w:rsidRDefault="002F7A49">
      <w:pPr>
        <w:numPr>
          <w:ilvl w:val="0"/>
          <w:numId w:val="1"/>
        </w:numPr>
        <w:jc w:val="both"/>
      </w:pPr>
      <w:r>
        <w:rPr>
          <w:i/>
        </w:rPr>
        <w:t>Dictar las normas necesarias para garantizar el adecuado cumplimiento de las funciones y la eficiente prestación de los servicios a cargo del Distrito.</w:t>
      </w:r>
      <w:r>
        <w:t>”</w:t>
      </w:r>
    </w:p>
    <w:p w:rsidR="00B22E10" w:rsidRDefault="00B22E10">
      <w:pPr>
        <w:jc w:val="both"/>
      </w:pPr>
    </w:p>
    <w:p w:rsidR="00B22E10" w:rsidRDefault="00B22E10">
      <w:pPr>
        <w:jc w:val="both"/>
      </w:pPr>
    </w:p>
    <w:p w:rsidR="00B22E10" w:rsidRDefault="00B22E10">
      <w:pPr>
        <w:jc w:val="both"/>
      </w:pPr>
    </w:p>
    <w:p w:rsidR="00B22E10" w:rsidRDefault="002F7A49">
      <w:pPr>
        <w:jc w:val="both"/>
        <w:rPr>
          <w:b/>
        </w:rPr>
      </w:pPr>
      <w:r>
        <w:rPr>
          <w:b/>
        </w:rPr>
        <w:t>5. CONSIDERACIONES GENERALES</w:t>
      </w:r>
    </w:p>
    <w:p w:rsidR="00B22E10" w:rsidRDefault="00B22E10">
      <w:pPr>
        <w:jc w:val="both"/>
        <w:rPr>
          <w:b/>
        </w:rPr>
      </w:pPr>
    </w:p>
    <w:p w:rsidR="00B22E10" w:rsidRDefault="002F7A49">
      <w:pPr>
        <w:spacing w:line="276" w:lineRule="auto"/>
        <w:jc w:val="both"/>
      </w:pPr>
      <w:r>
        <w:t>El proyecto del cual presento ponencia busca, como lo indica su objeto, complementar la Ruta Integral de atención Materno-Perinatal, especialmente en sus componentes de salud mental y apoyo comunitario.</w:t>
      </w:r>
    </w:p>
    <w:p w:rsidR="00B22E10" w:rsidRDefault="00B22E10">
      <w:pPr>
        <w:spacing w:line="276" w:lineRule="auto"/>
        <w:jc w:val="both"/>
      </w:pPr>
    </w:p>
    <w:p w:rsidR="00B22E10" w:rsidRDefault="002F7A49">
      <w:pPr>
        <w:spacing w:line="276" w:lineRule="auto"/>
        <w:jc w:val="both"/>
      </w:pPr>
      <w:r>
        <w:t>Contar con toda la información posible es un requisi</w:t>
      </w:r>
      <w:r>
        <w:t xml:space="preserve">to indispensable para que se tomen las mejores decisiones y, en un aspecto tan crucial como es el embarazo o en la interrupción del mismo, es fundamental que la mujer tenga pleno conocimiento de todas las variaciones hormonales que se generan en su cuerpo </w:t>
      </w:r>
      <w:r>
        <w:t>al momento de encontrarse en estado de gravidez.</w:t>
      </w:r>
    </w:p>
    <w:p w:rsidR="00B22E10" w:rsidRDefault="00B22E10">
      <w:pPr>
        <w:spacing w:line="276" w:lineRule="auto"/>
        <w:jc w:val="both"/>
      </w:pPr>
    </w:p>
    <w:p w:rsidR="00B22E10" w:rsidRDefault="002F7A49">
      <w:pPr>
        <w:spacing w:line="276" w:lineRule="auto"/>
        <w:jc w:val="both"/>
      </w:pPr>
      <w:r>
        <w:t>Bien lo informa el proyecto de acuerdo, existe mucha información sobre la depresión postparto, pero poco sobre la depresión durante el embarazo. esta situación, siguiendo lo citado por la autora del proyect</w:t>
      </w:r>
      <w:r>
        <w:t>o, implica lo siguiente:</w:t>
      </w:r>
    </w:p>
    <w:p w:rsidR="00B22E10" w:rsidRDefault="00B22E10">
      <w:pPr>
        <w:spacing w:line="276" w:lineRule="auto"/>
        <w:jc w:val="both"/>
      </w:pPr>
    </w:p>
    <w:p w:rsidR="00B22E10" w:rsidRDefault="002F7A49">
      <w:pPr>
        <w:spacing w:line="276" w:lineRule="auto"/>
        <w:jc w:val="both"/>
      </w:pPr>
      <w:r>
        <w:t xml:space="preserve">“una condición poco conocida durante el proceso de gestación denominada en términos psiquiátricos </w:t>
      </w:r>
      <w:r>
        <w:rPr>
          <w:b/>
        </w:rPr>
        <w:t xml:space="preserve">“depresión prenatal o preparto” </w:t>
      </w:r>
      <w:r>
        <w:t>o en inglés “Antenatal Depression”</w:t>
      </w:r>
      <w:r>
        <w:rPr>
          <w:sz w:val="16"/>
          <w:szCs w:val="16"/>
          <w:vertAlign w:val="superscript"/>
        </w:rPr>
        <w:footnoteReference w:id="1"/>
      </w:r>
      <w:r>
        <w:t>. Es una condición que afecta entre el 7% y 20% de las mujeres em</w:t>
      </w:r>
      <w:r>
        <w:t>barazadas a nivel mundial y ha sido motivo de estudio en el Reino Unido, Estados Unidos y Finlandia entre otros países. Sin embargo, es una condición poco conocida en Latinoamérica. Los síntomas de la depresión preparto en el estudio anteriormente referenc</w:t>
      </w:r>
      <w:r>
        <w:t>iado realizado en Victoria, Australia reveló que existe una relación muy estrecha entre la depresión antenatal y la ideación suicida; desesperación; miedo; sensación de falta de apoyo moral, etc. Así mismo otro estudio realizado en Suecia por diversas univ</w:t>
      </w:r>
      <w:r>
        <w:t>ersidades</w:t>
      </w:r>
      <w:r>
        <w:rPr>
          <w:sz w:val="16"/>
          <w:szCs w:val="16"/>
          <w:vertAlign w:val="superscript"/>
        </w:rPr>
        <w:footnoteReference w:id="2"/>
      </w:r>
      <w:r>
        <w:rPr>
          <w:sz w:val="16"/>
          <w:szCs w:val="16"/>
        </w:rPr>
        <w:t xml:space="preserve"> </w:t>
      </w:r>
      <w:r>
        <w:t>reveló que la ansiedad, el miedo y la depresión, propias de esta condición, se encuentran también presentes en aquellas mujeres que desean abortar.</w:t>
      </w:r>
    </w:p>
    <w:p w:rsidR="00B22E10" w:rsidRDefault="00B22E10">
      <w:pPr>
        <w:spacing w:line="276" w:lineRule="auto"/>
        <w:jc w:val="both"/>
        <w:rPr>
          <w:i/>
        </w:rPr>
      </w:pPr>
    </w:p>
    <w:p w:rsidR="00B22E10" w:rsidRDefault="002F7A49">
      <w:pPr>
        <w:spacing w:line="276" w:lineRule="auto"/>
        <w:jc w:val="both"/>
      </w:pPr>
      <w:r>
        <w:t xml:space="preserve">Una de las causas científicas de dicho padecimiento es que durante un embarazo normal las hormonas estrógenas y las progesteronas -encargadas de regular las funciones hormonales, así como el ánimo de la mujer- aumentan en un volumen de 30 a 50 veces. Pero </w:t>
      </w:r>
      <w:r>
        <w:t>existen casos en los que la placenta no produce la cantidad necesaria de progesterona, la cual no tiene efecto sobre la vida por nacer, pero sí un efecto depresivo en la madre.</w:t>
      </w:r>
    </w:p>
    <w:p w:rsidR="00B22E10" w:rsidRDefault="002F7A49">
      <w:pPr>
        <w:spacing w:before="200" w:line="276" w:lineRule="auto"/>
        <w:ind w:right="220"/>
        <w:jc w:val="both"/>
      </w:pPr>
      <w:r>
        <w:t>Esto muchas veces pasa inadvertido como enfermedad por el paciente y causa estr</w:t>
      </w:r>
      <w:r>
        <w:t>agos en ella como sentimientos de suicidio, deseos de abortar o ansiedad. La detección y seguimiento de este trastorno, que pudiera ser la solución alterna al aborto, tiene un tratamiento clínico relativamente sencillo. Se realiza a través de sesiones psic</w:t>
      </w:r>
      <w:r>
        <w:t>ológicas, apoyo moral y suplementación con dosis de zinc, hierro, y vitamina c para contrarrestar los efectos hormonales.”</w:t>
      </w:r>
    </w:p>
    <w:p w:rsidR="00B22E10" w:rsidRDefault="00B22E10">
      <w:pPr>
        <w:spacing w:line="276" w:lineRule="auto"/>
        <w:jc w:val="both"/>
      </w:pPr>
    </w:p>
    <w:p w:rsidR="00B22E10" w:rsidRDefault="002F7A49">
      <w:pPr>
        <w:spacing w:line="276" w:lineRule="auto"/>
        <w:jc w:val="both"/>
      </w:pPr>
      <w:r>
        <w:t>Si bien esta es una condición poco revisada y/o analizada en Latinoamerica, cobra mayor relevancia cuando en derecho de petición ele</w:t>
      </w:r>
      <w:r>
        <w:t xml:space="preserve">vado a la Secretaria Distrital de Salud se nos informó que </w:t>
      </w:r>
    </w:p>
    <w:p w:rsidR="00B22E10" w:rsidRDefault="00B22E10">
      <w:pPr>
        <w:spacing w:line="276" w:lineRule="auto"/>
        <w:jc w:val="both"/>
      </w:pPr>
    </w:p>
    <w:p w:rsidR="00B22E10" w:rsidRDefault="002F7A49">
      <w:pPr>
        <w:spacing w:line="276" w:lineRule="auto"/>
        <w:jc w:val="both"/>
        <w:rPr>
          <w:i/>
        </w:rPr>
      </w:pPr>
      <w:r>
        <w:rPr>
          <w:i/>
        </w:rPr>
        <w:t>“Orientación y asesoría para la toma de decisiones y acompañamiento emocional,</w:t>
      </w:r>
    </w:p>
    <w:p w:rsidR="00B22E10" w:rsidRDefault="002F7A49">
      <w:pPr>
        <w:spacing w:line="276" w:lineRule="auto"/>
        <w:jc w:val="both"/>
        <w:rPr>
          <w:i/>
          <w:u w:val="single"/>
        </w:rPr>
      </w:pPr>
      <w:r>
        <w:rPr>
          <w:i/>
        </w:rPr>
        <w:t xml:space="preserve">garantizando siempre la autonomía de la mujer y su derecho a decidir si continúa o no con el embarazo. </w:t>
      </w:r>
      <w:r>
        <w:rPr>
          <w:i/>
          <w:u w:val="single"/>
        </w:rPr>
        <w:t>Aunque la ori</w:t>
      </w:r>
      <w:r>
        <w:rPr>
          <w:i/>
          <w:u w:val="single"/>
        </w:rPr>
        <w:t>entación y asesoría no son obligatorias, ni se</w:t>
      </w:r>
    </w:p>
    <w:p w:rsidR="00B22E10" w:rsidRDefault="002F7A49">
      <w:pPr>
        <w:spacing w:line="276" w:lineRule="auto"/>
        <w:jc w:val="both"/>
        <w:rPr>
          <w:i/>
        </w:rPr>
      </w:pPr>
      <w:r>
        <w:rPr>
          <w:i/>
          <w:u w:val="single"/>
        </w:rPr>
        <w:t>deben constituir en un prerrequisito que obstaculice el acceso a los servicios de IVE o dilate la atención, la orientación y asesoría oportunas y de calidad son aspectos primordiales en el proceso de toma de d</w:t>
      </w:r>
      <w:r>
        <w:rPr>
          <w:i/>
          <w:u w:val="single"/>
        </w:rPr>
        <w:t>ecisión de la mujer, con el fin de mejorar los resultados del proceso, garantizar el derecho a la procreación en condiciones seguras, y fortalecer aspectos preventivos en salud sexual y reproductiva</w:t>
      </w:r>
      <w:r>
        <w:rPr>
          <w:i/>
        </w:rPr>
        <w:t>.”</w:t>
      </w:r>
      <w:r>
        <w:rPr>
          <w:i/>
          <w:vertAlign w:val="superscript"/>
        </w:rPr>
        <w:footnoteReference w:id="3"/>
      </w:r>
      <w:r>
        <w:rPr>
          <w:i/>
        </w:rPr>
        <w:t>(Subrayado fuera del texto)</w:t>
      </w:r>
    </w:p>
    <w:p w:rsidR="00B22E10" w:rsidRDefault="00B22E10">
      <w:pPr>
        <w:spacing w:line="276" w:lineRule="auto"/>
        <w:jc w:val="both"/>
        <w:rPr>
          <w:i/>
        </w:rPr>
      </w:pPr>
    </w:p>
    <w:p w:rsidR="00B22E10" w:rsidRDefault="002F7A49">
      <w:pPr>
        <w:spacing w:line="276" w:lineRule="auto"/>
        <w:jc w:val="both"/>
      </w:pPr>
      <w:r>
        <w:t>Si una mujer que está atra</w:t>
      </w:r>
      <w:r>
        <w:t>vesando por esta condición no cuenta con dicha información y, por ende, no puede tener un tratamiento para salir de ese estado, pensará que su voluntad es la de abortar. Esta orientación y asesoría, que, como lo dice la Secretaria de Salud no es obligatori</w:t>
      </w:r>
      <w:r>
        <w:t>a, debe ir encaminada que dotar de toda la información a la paciente, indicarle que puede estar atravesando por una condición de depresión durante el embarazo con lo cual la solución no es el aborto sino un tratamiento que mejore sus niveles hormonales y l</w:t>
      </w:r>
      <w:r>
        <w:t>e permita continuar con su embarazo.</w:t>
      </w:r>
    </w:p>
    <w:p w:rsidR="00B22E10" w:rsidRDefault="00B22E10">
      <w:pPr>
        <w:spacing w:line="276" w:lineRule="auto"/>
        <w:jc w:val="both"/>
      </w:pPr>
    </w:p>
    <w:p w:rsidR="00B22E10" w:rsidRDefault="002F7A49">
      <w:pPr>
        <w:spacing w:line="276" w:lineRule="auto"/>
        <w:jc w:val="both"/>
      </w:pPr>
      <w:r>
        <w:t xml:space="preserve">Para finalizar, consideramos que el Estado, en todos sus niveles, no debe abogar por el aborto </w:t>
      </w:r>
      <w:r>
        <w:rPr>
          <w:i/>
        </w:rPr>
        <w:t>per se</w:t>
      </w:r>
      <w:r>
        <w:t>, sino que su apuesta debe estar orientada a brindar información a la mujer que, como en muchos casos, tiene un embar</w:t>
      </w:r>
      <w:r>
        <w:t xml:space="preserve">azo dificil y no necesariamente su voluntad es la de abortar. En ese sentido apoyamos totalmente este proyecto y consideramos que su implementación mejoraría notablemente las condiciones de salud mental de las mujeres. </w:t>
      </w:r>
    </w:p>
    <w:p w:rsidR="00B22E10" w:rsidRDefault="00B22E10">
      <w:pPr>
        <w:spacing w:line="276" w:lineRule="auto"/>
        <w:jc w:val="both"/>
      </w:pPr>
    </w:p>
    <w:p w:rsidR="00B22E10" w:rsidRDefault="002F7A49">
      <w:pPr>
        <w:spacing w:line="276" w:lineRule="auto"/>
        <w:jc w:val="both"/>
        <w:rPr>
          <w:b/>
        </w:rPr>
      </w:pPr>
      <w:r>
        <w:rPr>
          <w:b/>
        </w:rPr>
        <w:t>IMPACTO FISCAL</w:t>
      </w:r>
    </w:p>
    <w:p w:rsidR="00B22E10" w:rsidRDefault="00B22E10">
      <w:pPr>
        <w:spacing w:line="276" w:lineRule="auto"/>
        <w:jc w:val="both"/>
        <w:rPr>
          <w:b/>
        </w:rPr>
      </w:pPr>
    </w:p>
    <w:p w:rsidR="00B22E10" w:rsidRDefault="002F7A49">
      <w:pPr>
        <w:spacing w:line="276" w:lineRule="auto"/>
        <w:jc w:val="both"/>
      </w:pPr>
      <w:r>
        <w:t>Siguiendo la inicia</w:t>
      </w:r>
      <w:r>
        <w:t>tiva, al hablar sobre el impacto fiscal, establece lo siguiente:</w:t>
      </w:r>
    </w:p>
    <w:p w:rsidR="00B22E10" w:rsidRDefault="00B22E10">
      <w:pPr>
        <w:spacing w:line="276" w:lineRule="auto"/>
        <w:jc w:val="both"/>
      </w:pPr>
    </w:p>
    <w:p w:rsidR="00B22E10" w:rsidRDefault="002F7A49">
      <w:pPr>
        <w:spacing w:line="276" w:lineRule="auto"/>
        <w:jc w:val="both"/>
        <w:rPr>
          <w:b/>
        </w:rPr>
      </w:pPr>
      <w:r>
        <w:rPr>
          <w:b/>
        </w:rPr>
        <w:t xml:space="preserve"> </w:t>
      </w:r>
    </w:p>
    <w:p w:rsidR="00B22E10" w:rsidRDefault="002F7A49">
      <w:pPr>
        <w:spacing w:line="276" w:lineRule="auto"/>
        <w:ind w:left="720" w:right="220"/>
        <w:jc w:val="both"/>
      </w:pPr>
      <w:r>
        <w:t xml:space="preserve">De conformidad con lo establecido en el artículo 7º de la Ley 819 de 2003: En cualquier proyecto de ley, ordenanza o acuerdo, que ordene gasto y que otorgue beneficios tributarios, deberá </w:t>
      </w:r>
      <w:r>
        <w:t>hacerse explícito y deberá ser compatible con el Marco Fiscal de Mediano Plazo.</w:t>
      </w:r>
    </w:p>
    <w:p w:rsidR="00B22E10" w:rsidRDefault="002F7A49">
      <w:pPr>
        <w:spacing w:line="276" w:lineRule="auto"/>
        <w:jc w:val="both"/>
      </w:pPr>
      <w:r>
        <w:t xml:space="preserve"> </w:t>
      </w:r>
    </w:p>
    <w:p w:rsidR="00B22E10" w:rsidRDefault="002F7A49">
      <w:pPr>
        <w:spacing w:line="276" w:lineRule="auto"/>
        <w:ind w:left="720" w:right="220"/>
        <w:jc w:val="both"/>
      </w:pPr>
      <w:r>
        <w:t>Para estos propósitos, deberá incluirse expresamente en la exposición de motivos y en las ponencias de trámite respectivo, los costos fiscales de la iniciativa y la fuente de</w:t>
      </w:r>
      <w:r>
        <w:t xml:space="preserve"> ingreso adicional generada para el financiamiento de dicho costo”.</w:t>
      </w:r>
    </w:p>
    <w:p w:rsidR="00B22E10" w:rsidRDefault="002F7A49">
      <w:pPr>
        <w:spacing w:line="276" w:lineRule="auto"/>
        <w:jc w:val="both"/>
      </w:pPr>
      <w:r>
        <w:t xml:space="preserve"> </w:t>
      </w:r>
    </w:p>
    <w:p w:rsidR="00B22E10" w:rsidRDefault="002F7A49">
      <w:pPr>
        <w:pStyle w:val="Ttulo1"/>
        <w:keepNext w:val="0"/>
        <w:spacing w:line="276" w:lineRule="auto"/>
        <w:ind w:left="720" w:right="240"/>
        <w:jc w:val="both"/>
        <w:rPr>
          <w:b/>
        </w:rPr>
      </w:pPr>
      <w:bookmarkStart w:id="1" w:name="_heading=h.kncl5nywodx3" w:colFirst="0" w:colLast="0"/>
      <w:bookmarkEnd w:id="1"/>
      <w:r>
        <w:rPr>
          <w:rFonts w:ascii="Arial" w:hAnsi="Arial"/>
          <w:b/>
          <w:u w:val="single"/>
        </w:rPr>
        <w:t>Con la presente iniciativa se considera que no se compromete asignar apropiaciones</w:t>
      </w:r>
      <w:r>
        <w:rPr>
          <w:rFonts w:ascii="Arial" w:hAnsi="Arial"/>
          <w:b/>
        </w:rPr>
        <w:t xml:space="preserve"> </w:t>
      </w:r>
      <w:r>
        <w:rPr>
          <w:rFonts w:ascii="Arial" w:hAnsi="Arial"/>
          <w:b/>
          <w:u w:val="single"/>
        </w:rPr>
        <w:t>presupuestales diferente a las inherentes al desarrollo de las funciones de las</w:t>
      </w:r>
      <w:r>
        <w:rPr>
          <w:rFonts w:ascii="Arial" w:hAnsi="Arial"/>
          <w:b/>
        </w:rPr>
        <w:t xml:space="preserve"> </w:t>
      </w:r>
      <w:r>
        <w:rPr>
          <w:rFonts w:ascii="Arial" w:hAnsi="Arial"/>
          <w:b/>
          <w:u w:val="single"/>
        </w:rPr>
        <w:t xml:space="preserve">entidades enunciadas y </w:t>
      </w:r>
      <w:r>
        <w:rPr>
          <w:rFonts w:ascii="Arial" w:hAnsi="Arial"/>
          <w:b/>
          <w:u w:val="single"/>
        </w:rPr>
        <w:t>que se encuentran como responsables de cada meta.</w:t>
      </w:r>
    </w:p>
    <w:p w:rsidR="00B22E10" w:rsidRDefault="002F7A49">
      <w:pPr>
        <w:spacing w:before="260" w:line="276" w:lineRule="auto"/>
        <w:ind w:left="720"/>
        <w:jc w:val="both"/>
      </w:pPr>
      <w:r>
        <w:t>En conclusión, el impacto fiscal del presente proyecto de acuerdo en nada modifica el marco fiscal de mediano plazo presentado por la Administración Distrital.</w:t>
      </w:r>
    </w:p>
    <w:p w:rsidR="00B22E10" w:rsidRDefault="00B22E10">
      <w:pPr>
        <w:jc w:val="both"/>
      </w:pPr>
    </w:p>
    <w:p w:rsidR="00B22E10" w:rsidRDefault="00B22E10">
      <w:pPr>
        <w:jc w:val="both"/>
      </w:pPr>
    </w:p>
    <w:p w:rsidR="00B22E10" w:rsidRDefault="00B22E10">
      <w:pPr>
        <w:jc w:val="both"/>
      </w:pPr>
    </w:p>
    <w:p w:rsidR="00B22E10" w:rsidRDefault="00B22E10">
      <w:pPr>
        <w:jc w:val="both"/>
      </w:pPr>
    </w:p>
    <w:p w:rsidR="00B22E10" w:rsidRDefault="00B22E10">
      <w:pPr>
        <w:jc w:val="both"/>
      </w:pPr>
    </w:p>
    <w:p w:rsidR="00B22E10" w:rsidRDefault="00B22E10">
      <w:pPr>
        <w:jc w:val="both"/>
      </w:pPr>
    </w:p>
    <w:p w:rsidR="00B22E10" w:rsidRDefault="00B22E10">
      <w:pPr>
        <w:jc w:val="both"/>
      </w:pPr>
    </w:p>
    <w:p w:rsidR="00B22E10" w:rsidRDefault="00B22E10">
      <w:pPr>
        <w:jc w:val="both"/>
      </w:pPr>
    </w:p>
    <w:p w:rsidR="00B22E10" w:rsidRDefault="002F7A49">
      <w:pPr>
        <w:spacing w:line="276" w:lineRule="auto"/>
        <w:jc w:val="both"/>
        <w:rPr>
          <w:b/>
        </w:rPr>
      </w:pPr>
      <w:r>
        <w:rPr>
          <w:b/>
        </w:rPr>
        <w:t>6. CONCLUSIÓN</w:t>
      </w:r>
    </w:p>
    <w:p w:rsidR="00B22E10" w:rsidRDefault="00B22E10">
      <w:pPr>
        <w:spacing w:line="276" w:lineRule="auto"/>
        <w:jc w:val="both"/>
      </w:pPr>
    </w:p>
    <w:p w:rsidR="00B22E10" w:rsidRDefault="002F7A49">
      <w:pPr>
        <w:spacing w:line="276" w:lineRule="auto"/>
        <w:jc w:val="both"/>
        <w:rPr>
          <w:highlight w:val="yellow"/>
        </w:rPr>
      </w:pPr>
      <w:r>
        <w:t>Por las consideraciones expuestas anteriormente presento</w:t>
      </w:r>
      <w:r>
        <w:rPr>
          <w:b/>
        </w:rPr>
        <w:t xml:space="preserve"> PONENCIA POSITIVA </w:t>
      </w:r>
      <w:r>
        <w:t xml:space="preserve">al </w:t>
      </w:r>
      <w:r>
        <w:rPr>
          <w:b/>
        </w:rPr>
        <w:t>Proyecto de Acuerdo No. 212 de 2025.</w:t>
      </w:r>
    </w:p>
    <w:p w:rsidR="00B22E10" w:rsidRDefault="00B22E10">
      <w:pPr>
        <w:spacing w:line="276" w:lineRule="auto"/>
        <w:jc w:val="both"/>
      </w:pPr>
    </w:p>
    <w:p w:rsidR="00B22E10" w:rsidRDefault="002F7A49">
      <w:pPr>
        <w:spacing w:line="276" w:lineRule="auto"/>
        <w:jc w:val="both"/>
      </w:pPr>
      <w:r>
        <w:t>Cordialmente;</w:t>
      </w:r>
    </w:p>
    <w:p w:rsidR="00B22E10" w:rsidRDefault="00B22E10">
      <w:pPr>
        <w:spacing w:line="276" w:lineRule="auto"/>
        <w:jc w:val="both"/>
        <w:rPr>
          <w:b/>
        </w:rPr>
      </w:pPr>
    </w:p>
    <w:p w:rsidR="00B22E10" w:rsidRDefault="00B22E10">
      <w:pPr>
        <w:spacing w:line="276" w:lineRule="auto"/>
        <w:jc w:val="both"/>
        <w:rPr>
          <w:b/>
        </w:rPr>
      </w:pPr>
    </w:p>
    <w:p w:rsidR="00B22E10" w:rsidRDefault="00B22E10">
      <w:pPr>
        <w:spacing w:line="276" w:lineRule="auto"/>
        <w:jc w:val="both"/>
        <w:rPr>
          <w:b/>
        </w:rPr>
      </w:pPr>
    </w:p>
    <w:p w:rsidR="00B22E10" w:rsidRDefault="00B22E10">
      <w:pPr>
        <w:spacing w:line="276" w:lineRule="auto"/>
        <w:jc w:val="both"/>
        <w:rPr>
          <w:b/>
        </w:rPr>
      </w:pPr>
    </w:p>
    <w:p w:rsidR="00B22E10" w:rsidRDefault="002F7A49">
      <w:pPr>
        <w:spacing w:line="276" w:lineRule="auto"/>
        <w:jc w:val="both"/>
        <w:rPr>
          <w:b/>
        </w:rPr>
      </w:pPr>
      <w:r>
        <w:rPr>
          <w:b/>
        </w:rPr>
        <w:t>HC ANDRÉS BARRIOS BERNAL</w:t>
      </w:r>
      <w:r>
        <w:rPr>
          <w:b/>
        </w:rPr>
        <w:tab/>
      </w:r>
    </w:p>
    <w:p w:rsidR="00B22E10" w:rsidRDefault="002F7A49">
      <w:pPr>
        <w:spacing w:line="276" w:lineRule="auto"/>
        <w:jc w:val="both"/>
      </w:pPr>
      <w:r>
        <w:t>Ponente</w:t>
      </w:r>
      <w:r>
        <w:tab/>
      </w:r>
      <w:r>
        <w:tab/>
      </w:r>
      <w:r>
        <w:tab/>
      </w:r>
    </w:p>
    <w:p w:rsidR="00B22E10" w:rsidRDefault="00B22E10">
      <w:pPr>
        <w:spacing w:line="276" w:lineRule="auto"/>
        <w:jc w:val="both"/>
      </w:pPr>
    </w:p>
    <w:p w:rsidR="00B22E10" w:rsidRDefault="00B22E10">
      <w:pPr>
        <w:spacing w:line="276" w:lineRule="auto"/>
        <w:jc w:val="both"/>
        <w:rPr>
          <w:b/>
        </w:rPr>
      </w:pPr>
    </w:p>
    <w:p w:rsidR="00B22E10" w:rsidRDefault="00B22E10">
      <w:pPr>
        <w:spacing w:line="276" w:lineRule="auto"/>
        <w:jc w:val="both"/>
        <w:rPr>
          <w:b/>
        </w:rPr>
      </w:pPr>
    </w:p>
    <w:p w:rsidR="00B22E10" w:rsidRDefault="00B22E10">
      <w:pPr>
        <w:spacing w:line="276" w:lineRule="auto"/>
        <w:jc w:val="both"/>
        <w:rPr>
          <w:b/>
        </w:rPr>
      </w:pPr>
    </w:p>
    <w:p w:rsidR="00B22E10" w:rsidRDefault="00B22E10">
      <w:pPr>
        <w:spacing w:line="276" w:lineRule="auto"/>
        <w:jc w:val="both"/>
        <w:rPr>
          <w:b/>
        </w:rPr>
      </w:pPr>
    </w:p>
    <w:p w:rsidR="00B22E10" w:rsidRDefault="00B22E10">
      <w:pPr>
        <w:spacing w:line="276" w:lineRule="auto"/>
        <w:jc w:val="both"/>
        <w:rPr>
          <w:b/>
        </w:rPr>
      </w:pPr>
    </w:p>
    <w:p w:rsidR="00B22E10" w:rsidRDefault="00B22E10">
      <w:pPr>
        <w:spacing w:line="276" w:lineRule="auto"/>
        <w:jc w:val="both"/>
        <w:rPr>
          <w:b/>
        </w:rPr>
      </w:pPr>
    </w:p>
    <w:p w:rsidR="00B22E10" w:rsidRDefault="00B22E10">
      <w:pPr>
        <w:spacing w:line="276" w:lineRule="auto"/>
        <w:jc w:val="both"/>
        <w:rPr>
          <w:b/>
        </w:rPr>
      </w:pPr>
    </w:p>
    <w:p w:rsidR="00B22E10" w:rsidRDefault="00B22E10">
      <w:pPr>
        <w:spacing w:line="276" w:lineRule="auto"/>
        <w:jc w:val="both"/>
        <w:rPr>
          <w:b/>
        </w:rPr>
      </w:pPr>
    </w:p>
    <w:p w:rsidR="00B22E10" w:rsidRDefault="00B22E10">
      <w:pPr>
        <w:spacing w:line="276" w:lineRule="auto"/>
        <w:jc w:val="both"/>
        <w:rPr>
          <w:b/>
        </w:rPr>
      </w:pPr>
    </w:p>
    <w:p w:rsidR="00B22E10" w:rsidRDefault="00B22E10">
      <w:pPr>
        <w:spacing w:line="276" w:lineRule="auto"/>
        <w:jc w:val="both"/>
        <w:rPr>
          <w:b/>
        </w:rPr>
      </w:pPr>
    </w:p>
    <w:p w:rsidR="00B22E10" w:rsidRDefault="00B22E10">
      <w:pPr>
        <w:spacing w:line="276" w:lineRule="auto"/>
        <w:jc w:val="both"/>
        <w:rPr>
          <w:b/>
        </w:rPr>
      </w:pPr>
    </w:p>
    <w:p w:rsidR="00B22E10" w:rsidRDefault="00B22E10">
      <w:pPr>
        <w:spacing w:line="276" w:lineRule="auto"/>
        <w:jc w:val="both"/>
        <w:rPr>
          <w:sz w:val="16"/>
          <w:szCs w:val="16"/>
        </w:rPr>
      </w:pPr>
    </w:p>
    <w:sectPr w:rsidR="00B22E10">
      <w:headerReference w:type="default" r:id="rId8"/>
      <w:footerReference w:type="even" r:id="rId9"/>
      <w:footerReference w:type="default" r:id="rId10"/>
      <w:pgSz w:w="12242" w:h="15842"/>
      <w:pgMar w:top="1701" w:right="1701" w:bottom="1701" w:left="1701" w:header="1134" w:footer="85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2F7A49">
      <w:r>
        <w:separator/>
      </w:r>
    </w:p>
  </w:endnote>
  <w:endnote w:type="continuationSeparator" w:id="0">
    <w:p w:rsidR="00000000" w:rsidRDefault="002F7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roman"/>
    <w:notTrueType/>
    <w:pitch w:val="default"/>
  </w:font>
  <w:font w:name="Georgia">
    <w:panose1 w:val="02040502050405020303"/>
    <w:charset w:val="00"/>
    <w:family w:val="auto"/>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2E10" w:rsidRDefault="002F7A49">
    <w:pPr>
      <w:pBdr>
        <w:top w:val="nil"/>
        <w:left w:val="nil"/>
        <w:bottom w:val="nil"/>
        <w:right w:val="nil"/>
        <w:between w:val="nil"/>
      </w:pBdr>
      <w:tabs>
        <w:tab w:val="center" w:pos="4252"/>
        <w:tab w:val="right" w:pos="8504"/>
      </w:tabs>
      <w:jc w:val="right"/>
    </w:pPr>
    <w:r>
      <w:fldChar w:fldCharType="begin"/>
    </w:r>
    <w:r>
      <w:instrText>PAGE</w:instrText>
    </w:r>
    <w:r>
      <w:fldChar w:fldCharType="end"/>
    </w:r>
  </w:p>
  <w:p w:rsidR="00B22E10" w:rsidRDefault="00B22E10">
    <w:pPr>
      <w:pBdr>
        <w:top w:val="nil"/>
        <w:left w:val="nil"/>
        <w:bottom w:val="nil"/>
        <w:right w:val="nil"/>
        <w:between w:val="nil"/>
      </w:pBdr>
      <w:tabs>
        <w:tab w:val="center" w:pos="4252"/>
        <w:tab w:val="right" w:pos="8504"/>
      </w:tabs>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2E10" w:rsidRDefault="00B22E10">
    <w:pPr>
      <w:jc w:val="both"/>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2F7A49">
      <w:r>
        <w:separator/>
      </w:r>
    </w:p>
  </w:footnote>
  <w:footnote w:type="continuationSeparator" w:id="0">
    <w:p w:rsidR="00000000" w:rsidRDefault="002F7A49">
      <w:r>
        <w:continuationSeparator/>
      </w:r>
    </w:p>
  </w:footnote>
  <w:footnote w:id="1">
    <w:p w:rsidR="00B22E10" w:rsidRDefault="002F7A49">
      <w:pPr>
        <w:rPr>
          <w:sz w:val="20"/>
          <w:szCs w:val="20"/>
        </w:rPr>
      </w:pPr>
      <w:r>
        <w:rPr>
          <w:vertAlign w:val="superscript"/>
        </w:rPr>
        <w:footnoteRef/>
      </w:r>
      <w:r>
        <w:rPr>
          <w:sz w:val="20"/>
          <w:szCs w:val="20"/>
        </w:rPr>
        <w:t xml:space="preserve"> Tomado del Proyecto de Acuerdo 212 de 2025 de la H.C. Clara Lucía Sandoval Moreno. BMC Psychiatry. Risk factors for antenatal depression, postnatal depression and parenting stress. [Portal Web] Bronwyn Leigh and Jeannette Milgrom. [Consultado: 24 de dicie</w:t>
      </w:r>
      <w:r>
        <w:rPr>
          <w:sz w:val="20"/>
          <w:szCs w:val="20"/>
        </w:rPr>
        <w:t>mbre de 2023] Disponible en:</w:t>
      </w:r>
      <w:hyperlink r:id="rId1">
        <w:r>
          <w:rPr>
            <w:sz w:val="20"/>
            <w:szCs w:val="20"/>
          </w:rPr>
          <w:t xml:space="preserve"> </w:t>
        </w:r>
      </w:hyperlink>
      <w:hyperlink r:id="rId2">
        <w:r>
          <w:rPr>
            <w:color w:val="0000FF"/>
            <w:sz w:val="20"/>
            <w:szCs w:val="20"/>
            <w:u w:val="single"/>
          </w:rPr>
          <w:t>http://www.biomedcentral.com/1471-244X/8/24</w:t>
        </w:r>
      </w:hyperlink>
    </w:p>
  </w:footnote>
  <w:footnote w:id="2">
    <w:p w:rsidR="00B22E10" w:rsidRDefault="002F7A49">
      <w:pPr>
        <w:rPr>
          <w:sz w:val="20"/>
          <w:szCs w:val="20"/>
        </w:rPr>
      </w:pPr>
      <w:r>
        <w:rPr>
          <w:vertAlign w:val="superscript"/>
        </w:rPr>
        <w:footnoteRef/>
      </w:r>
      <w:r>
        <w:rPr>
          <w:sz w:val="20"/>
          <w:szCs w:val="20"/>
        </w:rPr>
        <w:t xml:space="preserve"> Tomado del Proyecto de Acuerdo 212 de 2025 de la H.C. Clara Lucía Sandoval Moreno. </w:t>
      </w:r>
      <w:r>
        <w:rPr>
          <w:sz w:val="18"/>
          <w:szCs w:val="18"/>
        </w:rPr>
        <w:t xml:space="preserve">Wallin, Inger. Et, al. The prevalence of posttraumatic stress among women requesting induced abortion. En: </w:t>
      </w:r>
      <w:r>
        <w:rPr>
          <w:i/>
          <w:sz w:val="18"/>
          <w:szCs w:val="18"/>
        </w:rPr>
        <w:t>The European Journal of Contraception and Reproductive Health Car</w:t>
      </w:r>
      <w:r>
        <w:rPr>
          <w:i/>
          <w:sz w:val="18"/>
          <w:szCs w:val="18"/>
        </w:rPr>
        <w:t>e</w:t>
      </w:r>
      <w:r>
        <w:rPr>
          <w:sz w:val="18"/>
          <w:szCs w:val="18"/>
        </w:rPr>
        <w:t>. Inglaterra. 2013. Nro. 18. P. 480–488</w:t>
      </w:r>
    </w:p>
  </w:footnote>
  <w:footnote w:id="3">
    <w:p w:rsidR="00B22E10" w:rsidRDefault="002F7A49">
      <w:pPr>
        <w:rPr>
          <w:sz w:val="20"/>
          <w:szCs w:val="20"/>
        </w:rPr>
      </w:pPr>
      <w:r>
        <w:rPr>
          <w:vertAlign w:val="superscript"/>
        </w:rPr>
        <w:footnoteRef/>
      </w:r>
      <w:r>
        <w:rPr>
          <w:sz w:val="20"/>
          <w:szCs w:val="20"/>
        </w:rPr>
        <w:t xml:space="preserve"> Respuesta con radicado 2024-EE-56116 del 26 de abril de 2024 de la Secretaría Distrital de Salud a derecho de petición presentado por el Honorable Concejal Andrés Barrios Bernal.</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2E10" w:rsidRDefault="00B22E10">
    <w:pPr>
      <w:widowControl w:val="0"/>
      <w:pBdr>
        <w:top w:val="nil"/>
        <w:left w:val="nil"/>
        <w:bottom w:val="nil"/>
        <w:right w:val="nil"/>
        <w:between w:val="nil"/>
      </w:pBdr>
      <w:spacing w:line="276" w:lineRule="auto"/>
      <w:rPr>
        <w:sz w:val="20"/>
        <w:szCs w:val="20"/>
      </w:rPr>
    </w:pPr>
  </w:p>
  <w:tbl>
    <w:tblPr>
      <w:tblStyle w:val="ab"/>
      <w:tblW w:w="8830" w:type="dxa"/>
      <w:tblInd w:w="0" w:type="dxa"/>
      <w:tblLayout w:type="fixed"/>
      <w:tblLook w:val="0000" w:firstRow="0" w:lastRow="0" w:firstColumn="0" w:lastColumn="0" w:noHBand="0" w:noVBand="0"/>
    </w:tblPr>
    <w:tblGrid>
      <w:gridCol w:w="2361"/>
      <w:gridCol w:w="4235"/>
      <w:gridCol w:w="2234"/>
    </w:tblGrid>
    <w:tr w:rsidR="00B22E10">
      <w:trPr>
        <w:trHeight w:val="454"/>
      </w:trPr>
      <w:tc>
        <w:tcPr>
          <w:tcW w:w="2361" w:type="dxa"/>
          <w:vMerge w:val="restart"/>
          <w:tcBorders>
            <w:top w:val="single" w:sz="4" w:space="0" w:color="000000"/>
            <w:left w:val="single" w:sz="4" w:space="0" w:color="000000"/>
            <w:right w:val="single" w:sz="4" w:space="0" w:color="000000"/>
          </w:tcBorders>
          <w:vAlign w:val="center"/>
        </w:tcPr>
        <w:p w:rsidR="00B22E10" w:rsidRDefault="00B22E10">
          <w:pPr>
            <w:jc w:val="center"/>
            <w:rPr>
              <w:sz w:val="16"/>
              <w:szCs w:val="16"/>
            </w:rPr>
          </w:pPr>
        </w:p>
      </w:tc>
      <w:tc>
        <w:tcPr>
          <w:tcW w:w="4235" w:type="dxa"/>
          <w:tcBorders>
            <w:top w:val="single" w:sz="4" w:space="0" w:color="000000"/>
            <w:left w:val="nil"/>
            <w:bottom w:val="single" w:sz="4" w:space="0" w:color="000000"/>
            <w:right w:val="single" w:sz="4" w:space="0" w:color="000000"/>
          </w:tcBorders>
          <w:vAlign w:val="center"/>
        </w:tcPr>
        <w:p w:rsidR="00B22E10" w:rsidRDefault="002F7A49">
          <w:pPr>
            <w:jc w:val="center"/>
            <w:rPr>
              <w:sz w:val="18"/>
              <w:szCs w:val="18"/>
            </w:rPr>
          </w:pPr>
          <w:r>
            <w:rPr>
              <w:sz w:val="18"/>
              <w:szCs w:val="18"/>
            </w:rPr>
            <w:t>PROCESO GESTIÓN NORMATIVA</w:t>
          </w:r>
        </w:p>
      </w:tc>
      <w:tc>
        <w:tcPr>
          <w:tcW w:w="2234" w:type="dxa"/>
          <w:tcBorders>
            <w:top w:val="single" w:sz="4" w:space="0" w:color="000000"/>
            <w:left w:val="nil"/>
            <w:bottom w:val="single" w:sz="4" w:space="0" w:color="000000"/>
            <w:right w:val="single" w:sz="4" w:space="0" w:color="000000"/>
          </w:tcBorders>
          <w:vAlign w:val="center"/>
        </w:tcPr>
        <w:p w:rsidR="00B22E10" w:rsidRDefault="002F7A49">
          <w:pPr>
            <w:rPr>
              <w:sz w:val="16"/>
              <w:szCs w:val="16"/>
            </w:rPr>
          </w:pPr>
          <w:r>
            <w:rPr>
              <w:sz w:val="16"/>
              <w:szCs w:val="16"/>
            </w:rPr>
            <w:t>CÓDIGO</w:t>
          </w:r>
          <w:r>
            <w:rPr>
              <w:color w:val="3366FF"/>
              <w:sz w:val="16"/>
              <w:szCs w:val="16"/>
            </w:rPr>
            <w:t xml:space="preserve">: </w:t>
          </w:r>
          <w:r>
            <w:rPr>
              <w:sz w:val="16"/>
              <w:szCs w:val="16"/>
            </w:rPr>
            <w:t>GNV-FO-003</w:t>
          </w:r>
        </w:p>
      </w:tc>
    </w:tr>
    <w:tr w:rsidR="00B22E10">
      <w:trPr>
        <w:trHeight w:val="454"/>
      </w:trPr>
      <w:tc>
        <w:tcPr>
          <w:tcW w:w="2361" w:type="dxa"/>
          <w:vMerge/>
          <w:tcBorders>
            <w:top w:val="single" w:sz="4" w:space="0" w:color="000000"/>
            <w:left w:val="single" w:sz="4" w:space="0" w:color="000000"/>
            <w:right w:val="single" w:sz="4" w:space="0" w:color="000000"/>
          </w:tcBorders>
          <w:vAlign w:val="center"/>
        </w:tcPr>
        <w:p w:rsidR="00B22E10" w:rsidRDefault="00B22E10">
          <w:pPr>
            <w:widowControl w:val="0"/>
            <w:pBdr>
              <w:top w:val="nil"/>
              <w:left w:val="nil"/>
              <w:bottom w:val="nil"/>
              <w:right w:val="nil"/>
              <w:between w:val="nil"/>
            </w:pBdr>
            <w:spacing w:line="276" w:lineRule="auto"/>
            <w:rPr>
              <w:sz w:val="16"/>
              <w:szCs w:val="16"/>
            </w:rPr>
          </w:pPr>
        </w:p>
      </w:tc>
      <w:tc>
        <w:tcPr>
          <w:tcW w:w="4235" w:type="dxa"/>
          <w:vMerge w:val="restart"/>
          <w:tcBorders>
            <w:top w:val="single" w:sz="4" w:space="0" w:color="000000"/>
            <w:left w:val="nil"/>
            <w:right w:val="single" w:sz="4" w:space="0" w:color="000000"/>
          </w:tcBorders>
          <w:vAlign w:val="center"/>
        </w:tcPr>
        <w:p w:rsidR="00B22E10" w:rsidRDefault="002F7A49">
          <w:pPr>
            <w:jc w:val="center"/>
            <w:rPr>
              <w:sz w:val="20"/>
              <w:szCs w:val="20"/>
            </w:rPr>
          </w:pPr>
          <w:r>
            <w:rPr>
              <w:sz w:val="20"/>
              <w:szCs w:val="20"/>
            </w:rPr>
            <w:t>PRESENTACIÓN PONENCIAS</w:t>
          </w:r>
        </w:p>
      </w:tc>
      <w:tc>
        <w:tcPr>
          <w:tcW w:w="2234" w:type="dxa"/>
          <w:tcBorders>
            <w:top w:val="single" w:sz="4" w:space="0" w:color="000000"/>
            <w:left w:val="nil"/>
            <w:bottom w:val="single" w:sz="4" w:space="0" w:color="000000"/>
            <w:right w:val="single" w:sz="4" w:space="0" w:color="000000"/>
          </w:tcBorders>
          <w:vAlign w:val="center"/>
        </w:tcPr>
        <w:p w:rsidR="00B22E10" w:rsidRDefault="002F7A49">
          <w:pPr>
            <w:rPr>
              <w:sz w:val="16"/>
              <w:szCs w:val="16"/>
            </w:rPr>
          </w:pPr>
          <w:r>
            <w:rPr>
              <w:sz w:val="16"/>
              <w:szCs w:val="16"/>
            </w:rPr>
            <w:t>VERSIÓN:    01</w:t>
          </w:r>
        </w:p>
      </w:tc>
    </w:tr>
    <w:tr w:rsidR="00B22E10">
      <w:trPr>
        <w:trHeight w:val="454"/>
      </w:trPr>
      <w:tc>
        <w:tcPr>
          <w:tcW w:w="2361" w:type="dxa"/>
          <w:vMerge/>
          <w:tcBorders>
            <w:top w:val="single" w:sz="4" w:space="0" w:color="000000"/>
            <w:left w:val="single" w:sz="4" w:space="0" w:color="000000"/>
            <w:right w:val="single" w:sz="4" w:space="0" w:color="000000"/>
          </w:tcBorders>
          <w:vAlign w:val="center"/>
        </w:tcPr>
        <w:p w:rsidR="00B22E10" w:rsidRDefault="00B22E10">
          <w:pPr>
            <w:widowControl w:val="0"/>
            <w:pBdr>
              <w:top w:val="nil"/>
              <w:left w:val="nil"/>
              <w:bottom w:val="nil"/>
              <w:right w:val="nil"/>
              <w:between w:val="nil"/>
            </w:pBdr>
            <w:spacing w:line="276" w:lineRule="auto"/>
            <w:rPr>
              <w:sz w:val="16"/>
              <w:szCs w:val="16"/>
            </w:rPr>
          </w:pPr>
        </w:p>
      </w:tc>
      <w:tc>
        <w:tcPr>
          <w:tcW w:w="4235" w:type="dxa"/>
          <w:vMerge/>
          <w:tcBorders>
            <w:top w:val="single" w:sz="4" w:space="0" w:color="000000"/>
            <w:left w:val="nil"/>
            <w:right w:val="single" w:sz="4" w:space="0" w:color="000000"/>
          </w:tcBorders>
          <w:vAlign w:val="center"/>
        </w:tcPr>
        <w:p w:rsidR="00B22E10" w:rsidRDefault="00B22E10">
          <w:pPr>
            <w:widowControl w:val="0"/>
            <w:pBdr>
              <w:top w:val="nil"/>
              <w:left w:val="nil"/>
              <w:bottom w:val="nil"/>
              <w:right w:val="nil"/>
              <w:between w:val="nil"/>
            </w:pBdr>
            <w:spacing w:line="276" w:lineRule="auto"/>
            <w:rPr>
              <w:sz w:val="16"/>
              <w:szCs w:val="16"/>
            </w:rPr>
          </w:pPr>
        </w:p>
      </w:tc>
      <w:tc>
        <w:tcPr>
          <w:tcW w:w="2234" w:type="dxa"/>
          <w:tcBorders>
            <w:top w:val="single" w:sz="4" w:space="0" w:color="000000"/>
            <w:left w:val="nil"/>
            <w:bottom w:val="single" w:sz="4" w:space="0" w:color="000000"/>
            <w:right w:val="single" w:sz="4" w:space="0" w:color="000000"/>
          </w:tcBorders>
          <w:vAlign w:val="center"/>
        </w:tcPr>
        <w:p w:rsidR="00B22E10" w:rsidRDefault="002F7A49">
          <w:pPr>
            <w:rPr>
              <w:sz w:val="16"/>
              <w:szCs w:val="16"/>
            </w:rPr>
          </w:pPr>
          <w:r>
            <w:rPr>
              <w:sz w:val="16"/>
              <w:szCs w:val="16"/>
            </w:rPr>
            <w:t>FECHA: 14-Nov-2019</w:t>
          </w:r>
        </w:p>
      </w:tc>
    </w:tr>
  </w:tbl>
  <w:p w:rsidR="00B22E10" w:rsidRDefault="002F7A49">
    <w:pPr>
      <w:pBdr>
        <w:top w:val="nil"/>
        <w:left w:val="nil"/>
        <w:bottom w:val="nil"/>
        <w:right w:val="nil"/>
        <w:between w:val="nil"/>
      </w:pBdr>
      <w:tabs>
        <w:tab w:val="center" w:pos="4252"/>
        <w:tab w:val="right" w:pos="8504"/>
      </w:tabs>
    </w:pPr>
    <w:r>
      <w:rPr>
        <w:noProof/>
        <w:lang w:val="es-CO"/>
      </w:rPr>
      <w:drawing>
        <wp:anchor distT="0" distB="0" distL="0" distR="0" simplePos="0" relativeHeight="251658240" behindDoc="1" locked="0" layoutInCell="1" hidden="0" allowOverlap="1">
          <wp:simplePos x="0" y="0"/>
          <wp:positionH relativeFrom="column">
            <wp:posOffset>327025</wp:posOffset>
          </wp:positionH>
          <wp:positionV relativeFrom="paragraph">
            <wp:posOffset>-895342</wp:posOffset>
          </wp:positionV>
          <wp:extent cx="752475" cy="885825"/>
          <wp:effectExtent l="0" t="0" r="0" b="0"/>
          <wp:wrapNone/>
          <wp:docPr id="2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BA1A5D"/>
    <w:multiLevelType w:val="multilevel"/>
    <w:tmpl w:val="401E3B12"/>
    <w:lvl w:ilvl="0">
      <w:start w:val="1"/>
      <w:numFmt w:val="decimal"/>
      <w:lvlText w:val="%1."/>
      <w:lvlJc w:val="left"/>
      <w:pPr>
        <w:ind w:left="720" w:hanging="360"/>
      </w:pPr>
      <w:rPr>
        <w:b/>
      </w:r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1" w15:restartNumberingAfterBreak="0">
    <w:nsid w:val="7FC57DB9"/>
    <w:multiLevelType w:val="multilevel"/>
    <w:tmpl w:val="08B8E93C"/>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2E10"/>
    <w:rsid w:val="002F7A49"/>
    <w:rsid w:val="00B22E1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34F453-ACC8-4F64-9480-98D2C69EF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ES"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8CA"/>
    <w:rPr>
      <w:color w:val="000000"/>
    </w:rPr>
  </w:style>
  <w:style w:type="paragraph" w:styleId="Ttulo1">
    <w:name w:val="heading 1"/>
    <w:basedOn w:val="Normal"/>
    <w:next w:val="Normal"/>
    <w:link w:val="Ttulo1Car"/>
    <w:uiPriority w:val="99"/>
    <w:qFormat/>
    <w:rsid w:val="00AE7E3B"/>
    <w:pPr>
      <w:keepNext/>
      <w:jc w:val="center"/>
      <w:outlineLvl w:val="0"/>
    </w:pPr>
    <w:rPr>
      <w:rFonts w:ascii="Times New Roman" w:hAnsi="Times New Roman"/>
      <w:color w:val="auto"/>
      <w:lang w:val="es-MX"/>
    </w:rPr>
  </w:style>
  <w:style w:type="paragraph" w:styleId="Ttulo2">
    <w:name w:val="heading 2"/>
    <w:basedOn w:val="Normal"/>
    <w:next w:val="Normal"/>
    <w:link w:val="Ttulo2Car"/>
    <w:uiPriority w:val="99"/>
    <w:qFormat/>
    <w:rsid w:val="00AE7E3B"/>
    <w:pPr>
      <w:keepNext/>
      <w:outlineLvl w:val="1"/>
    </w:pPr>
    <w:rPr>
      <w:rFonts w:ascii="Times New Roman" w:hAnsi="Times New Roman"/>
      <w:color w:val="auto"/>
      <w:lang w:val="es-MX"/>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link w:val="Ttulo4Car"/>
    <w:uiPriority w:val="99"/>
    <w:qFormat/>
    <w:rsid w:val="00BD4F10"/>
    <w:pPr>
      <w:keepNext/>
      <w:spacing w:before="240" w:after="60"/>
      <w:outlineLvl w:val="3"/>
    </w:pPr>
    <w:rPr>
      <w:rFonts w:ascii="Times New Roman" w:hAnsi="Times New Roman"/>
      <w:b/>
      <w:bCs/>
      <w:color w:val="auto"/>
      <w:sz w:val="28"/>
      <w:szCs w:val="28"/>
    </w:rPr>
  </w:style>
  <w:style w:type="paragraph" w:styleId="Ttulo5">
    <w:name w:val="heading 5"/>
    <w:basedOn w:val="Normal"/>
    <w:next w:val="Normal"/>
    <w:link w:val="Ttulo5Car"/>
    <w:uiPriority w:val="99"/>
    <w:qFormat/>
    <w:rsid w:val="00776D41"/>
    <w:pPr>
      <w:keepNext/>
      <w:keepLines/>
      <w:spacing w:before="200"/>
      <w:outlineLvl w:val="4"/>
    </w:pPr>
    <w:rPr>
      <w:rFonts w:ascii="Cambria" w:hAnsi="Cambria"/>
      <w:color w:val="243F60"/>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character" w:customStyle="1" w:styleId="Ttulo1Car">
    <w:name w:val="Título 1 Car"/>
    <w:basedOn w:val="Fuentedeprrafopredeter"/>
    <w:link w:val="Ttulo1"/>
    <w:uiPriority w:val="99"/>
    <w:locked/>
    <w:rsid w:val="0078358A"/>
    <w:rPr>
      <w:rFonts w:ascii="Cambria" w:hAnsi="Cambria" w:cs="Times New Roman"/>
      <w:b/>
      <w:bCs/>
      <w:color w:val="000000"/>
      <w:kern w:val="32"/>
      <w:sz w:val="32"/>
      <w:szCs w:val="32"/>
    </w:rPr>
  </w:style>
  <w:style w:type="character" w:customStyle="1" w:styleId="Ttulo2Car">
    <w:name w:val="Título 2 Car"/>
    <w:basedOn w:val="Fuentedeprrafopredeter"/>
    <w:link w:val="Ttulo2"/>
    <w:uiPriority w:val="99"/>
    <w:semiHidden/>
    <w:locked/>
    <w:rsid w:val="0078358A"/>
    <w:rPr>
      <w:rFonts w:ascii="Cambria" w:hAnsi="Cambria" w:cs="Times New Roman"/>
      <w:b/>
      <w:bCs/>
      <w:i/>
      <w:iCs/>
      <w:color w:val="000000"/>
      <w:sz w:val="28"/>
      <w:szCs w:val="28"/>
    </w:rPr>
  </w:style>
  <w:style w:type="character" w:customStyle="1" w:styleId="Ttulo4Car">
    <w:name w:val="Título 4 Car"/>
    <w:basedOn w:val="Fuentedeprrafopredeter"/>
    <w:link w:val="Ttulo4"/>
    <w:uiPriority w:val="99"/>
    <w:locked/>
    <w:rsid w:val="00BD4F10"/>
    <w:rPr>
      <w:rFonts w:cs="Times New Roman"/>
      <w:b/>
      <w:sz w:val="28"/>
      <w:lang w:val="es-ES" w:eastAsia="es-ES"/>
    </w:rPr>
  </w:style>
  <w:style w:type="character" w:customStyle="1" w:styleId="Ttulo5Car">
    <w:name w:val="Título 5 Car"/>
    <w:basedOn w:val="Fuentedeprrafopredeter"/>
    <w:link w:val="Ttulo5"/>
    <w:uiPriority w:val="99"/>
    <w:semiHidden/>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style>
  <w:style w:type="character" w:customStyle="1" w:styleId="EncabezadoCar">
    <w:name w:val="Encabezado Car"/>
    <w:basedOn w:val="Fuentedeprrafopredeter"/>
    <w:link w:val="Encabezado"/>
    <w:uiPriority w:val="99"/>
    <w:semiHidden/>
    <w:locked/>
    <w:rsid w:val="0078358A"/>
    <w:rPr>
      <w:rFonts w:ascii="Arial" w:hAnsi="Arial" w:cs="Times New Roman"/>
      <w:color w:val="000000"/>
      <w:sz w:val="20"/>
      <w:szCs w:val="20"/>
    </w:rPr>
  </w:style>
  <w:style w:type="paragraph" w:styleId="Piedepgina">
    <w:name w:val="footer"/>
    <w:basedOn w:val="Normal"/>
    <w:link w:val="PiedepginaCar"/>
    <w:rsid w:val="00AE7E3B"/>
    <w:pPr>
      <w:tabs>
        <w:tab w:val="center" w:pos="4252"/>
        <w:tab w:val="right" w:pos="8504"/>
      </w:tabs>
    </w:pPr>
  </w:style>
  <w:style w:type="character" w:customStyle="1" w:styleId="PiedepginaCar">
    <w:name w:val="Pie de página Car"/>
    <w:basedOn w:val="Fuentedeprrafopredeter"/>
    <w:link w:val="Piedepgina"/>
    <w:locked/>
    <w:rsid w:val="0078358A"/>
    <w:rPr>
      <w:rFonts w:ascii="Arial" w:hAnsi="Arial" w:cs="Times New Roman"/>
      <w:color w:val="000000"/>
      <w:sz w:val="20"/>
      <w:szCs w:val="20"/>
    </w:rPr>
  </w:style>
  <w:style w:type="paragraph" w:styleId="Textoindependiente">
    <w:name w:val="Body Text"/>
    <w:basedOn w:val="Normal"/>
    <w:link w:val="TextoindependienteCar"/>
    <w:uiPriority w:val="99"/>
    <w:rsid w:val="00AE7E3B"/>
    <w:pPr>
      <w:jc w:val="both"/>
    </w:pPr>
    <w:rPr>
      <w:rFonts w:ascii="Times New Roman" w:hAnsi="Times New Roman"/>
      <w:color w:val="auto"/>
      <w:lang w:val="es-MX"/>
    </w:rPr>
  </w:style>
  <w:style w:type="character" w:customStyle="1" w:styleId="TextoindependienteCar">
    <w:name w:val="Texto independiente Car"/>
    <w:basedOn w:val="Fuentedeprrafopredeter"/>
    <w:link w:val="Textoindependiente"/>
    <w:uiPriority w:val="99"/>
    <w:semiHidden/>
    <w:locked/>
    <w:rsid w:val="0078358A"/>
    <w:rPr>
      <w:rFonts w:ascii="Arial" w:hAnsi="Arial" w:cs="Times New Roman"/>
      <w:color w:val="000000"/>
      <w:sz w:val="20"/>
      <w:szCs w:val="20"/>
    </w:rPr>
  </w:style>
  <w:style w:type="character" w:styleId="Refdecomentario">
    <w:name w:val="annotation reference"/>
    <w:basedOn w:val="Fuentedeprrafopredeter"/>
    <w:uiPriority w:val="99"/>
    <w:semiHidden/>
    <w:rsid w:val="00AE7E3B"/>
    <w:rPr>
      <w:rFonts w:cs="Times New Roman"/>
      <w:sz w:val="16"/>
    </w:rPr>
  </w:style>
  <w:style w:type="paragraph" w:styleId="Textocomentario">
    <w:name w:val="annotation text"/>
    <w:basedOn w:val="Normal"/>
    <w:link w:val="TextocomentarioCar"/>
    <w:uiPriority w:val="99"/>
    <w:semiHidden/>
    <w:rsid w:val="00AE7E3B"/>
    <w:rPr>
      <w:sz w:val="20"/>
    </w:rPr>
  </w:style>
  <w:style w:type="character" w:customStyle="1" w:styleId="TextocomentarioCar">
    <w:name w:val="Texto comentario Car"/>
    <w:basedOn w:val="Fuentedeprrafopredeter"/>
    <w:link w:val="Textocomentario"/>
    <w:uiPriority w:val="99"/>
    <w:semiHidden/>
    <w:locked/>
    <w:rsid w:val="0078358A"/>
    <w:rPr>
      <w:rFonts w:ascii="Arial" w:hAnsi="Arial" w:cs="Times New Roman"/>
      <w:color w:val="000000"/>
      <w:sz w:val="20"/>
      <w:szCs w:val="20"/>
    </w:rPr>
  </w:style>
  <w:style w:type="table" w:styleId="Tablaconcuadrcula">
    <w:name w:val="Table Grid"/>
    <w:basedOn w:val="Tablanormal"/>
    <w:uiPriority w:val="9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rPr>
      <w:rFonts w:ascii="Times New Roman" w:hAnsi="Times New Roman"/>
      <w:color w:val="auto"/>
    </w:r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sz w:val="16"/>
      <w:szCs w:val="16"/>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semiHidden/>
    <w:rsid w:val="00DD743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8358A"/>
    <w:rPr>
      <w:rFonts w:cs="Times New Roman"/>
      <w:color w:val="000000"/>
      <w:sz w:val="2"/>
    </w:rPr>
  </w:style>
  <w:style w:type="paragraph" w:styleId="Prrafodelista">
    <w:name w:val="List Paragraph"/>
    <w:aliases w:val="List1,LISTA,Párrafo de lista2,Ha,Resume Title,Bullet List,FooterText,numbered,List Paragraph1,Paragraphe de liste1,lp1,HOJA,Colorful List Accent 1,Colorful List - Accent 11,titulo 3,Colorful List - Accent 111,Bullets"/>
    <w:basedOn w:val="Normal"/>
    <w:link w:val="PrrafodelistaCar"/>
    <w:uiPriority w:val="1"/>
    <w:qFormat/>
    <w:rsid w:val="005C3311"/>
    <w:pPr>
      <w:ind w:left="708"/>
    </w:pPr>
  </w:style>
  <w:style w:type="paragraph" w:customStyle="1" w:styleId="Table">
    <w:name w:val="Table"/>
    <w:basedOn w:val="Normal"/>
    <w:autoRedefine/>
    <w:uiPriority w:val="99"/>
    <w:rsid w:val="006F04EF"/>
    <w:pPr>
      <w:spacing w:before="40" w:after="40"/>
      <w:ind w:left="4" w:hanging="4"/>
    </w:pPr>
    <w:rPr>
      <w:b/>
      <w:sz w:val="20"/>
      <w:lang w:val="en-GB" w:eastAsia="en-US"/>
    </w:rPr>
  </w:style>
  <w:style w:type="paragraph" w:styleId="NormalWeb">
    <w:name w:val="Normal (Web)"/>
    <w:basedOn w:val="Normal"/>
    <w:uiPriority w:val="99"/>
    <w:rsid w:val="00D95C19"/>
    <w:pPr>
      <w:suppressAutoHyphens/>
      <w:autoSpaceDN w:val="0"/>
      <w:spacing w:before="280" w:after="280"/>
      <w:textAlignment w:val="baseline"/>
    </w:pPr>
    <w:rPr>
      <w:rFonts w:ascii="Times New Roman" w:hAnsi="Times New Roman"/>
      <w:color w:val="auto"/>
      <w:kern w:val="3"/>
    </w:rPr>
  </w:style>
  <w:style w:type="character" w:customStyle="1" w:styleId="PrrafodelistaCar">
    <w:name w:val="Párrafo de lista Car"/>
    <w:aliases w:val="List1 Car,LISTA Car,Párrafo de lista2 Car,Ha Car,Resume Title Car,Bullet List Car,FooterText Car,numbered Car,List Paragraph1 Car,Paragraphe de liste1 Car,lp1 Car,HOJA Car,Colorful List Accent 1 Car,Colorful List - Accent 11 Car"/>
    <w:link w:val="Prrafodelista"/>
    <w:uiPriority w:val="1"/>
    <w:qFormat/>
    <w:rsid w:val="00E55917"/>
    <w:rPr>
      <w:rFonts w:ascii="Arial" w:hAnsi="Arial"/>
      <w:color w:val="000000"/>
      <w:sz w:val="24"/>
    </w:rPr>
  </w:style>
  <w:style w:type="character" w:styleId="nfasis">
    <w:name w:val="Emphasis"/>
    <w:basedOn w:val="Fuentedeprrafopredeter"/>
    <w:uiPriority w:val="20"/>
    <w:qFormat/>
    <w:locked/>
    <w:rsid w:val="00927142"/>
    <w:rPr>
      <w:i/>
      <w:iCs/>
    </w:rPr>
  </w:style>
  <w:style w:type="character" w:styleId="Textoennegrita">
    <w:name w:val="Strong"/>
    <w:basedOn w:val="Fuentedeprrafopredeter"/>
    <w:uiPriority w:val="22"/>
    <w:qFormat/>
    <w:locked/>
    <w:rsid w:val="004320AB"/>
    <w:rPr>
      <w:b/>
      <w:bC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5"/>
    <w:tblPr>
      <w:tblStyleRowBandSize w:val="1"/>
      <w:tblStyleColBandSize w:val="1"/>
      <w:tblCellMar>
        <w:top w:w="100" w:type="dxa"/>
        <w:left w:w="100" w:type="dxa"/>
        <w:bottom w:w="100" w:type="dxa"/>
        <w:right w:w="100" w:type="dxa"/>
      </w:tblCellMar>
    </w:tblPr>
  </w:style>
  <w:style w:type="table" w:customStyle="1" w:styleId="a0">
    <w:basedOn w:val="TableNormal5"/>
    <w:tblPr>
      <w:tblStyleRowBandSize w:val="1"/>
      <w:tblStyleColBandSize w:val="1"/>
      <w:tblCellMar>
        <w:top w:w="0" w:type="dxa"/>
        <w:left w:w="70" w:type="dxa"/>
        <w:bottom w:w="0" w:type="dxa"/>
        <w:right w:w="70" w:type="dxa"/>
      </w:tblCellMar>
    </w:tblPr>
  </w:style>
  <w:style w:type="table" w:customStyle="1" w:styleId="a1">
    <w:basedOn w:val="TableNormal5"/>
    <w:tblPr>
      <w:tblStyleRowBandSize w:val="1"/>
      <w:tblStyleColBandSize w:val="1"/>
      <w:tblCellMar>
        <w:top w:w="0" w:type="dxa"/>
        <w:left w:w="70" w:type="dxa"/>
        <w:bottom w:w="0" w:type="dxa"/>
        <w:right w:w="70" w:type="dxa"/>
      </w:tblCellMar>
    </w:tblPr>
  </w:style>
  <w:style w:type="table" w:customStyle="1" w:styleId="a2">
    <w:basedOn w:val="TableNormal5"/>
    <w:tblPr>
      <w:tblStyleRowBandSize w:val="1"/>
      <w:tblStyleColBandSize w:val="1"/>
      <w:tblCellMar>
        <w:top w:w="0" w:type="dxa"/>
        <w:left w:w="70" w:type="dxa"/>
        <w:bottom w:w="0" w:type="dxa"/>
        <w:right w:w="70" w:type="dxa"/>
      </w:tblCellMar>
    </w:tblPr>
  </w:style>
  <w:style w:type="table" w:customStyle="1" w:styleId="a3">
    <w:basedOn w:val="TableNormal5"/>
    <w:tblPr>
      <w:tblStyleRowBandSize w:val="1"/>
      <w:tblStyleColBandSize w:val="1"/>
      <w:tblCellMar>
        <w:top w:w="0" w:type="dxa"/>
        <w:left w:w="70" w:type="dxa"/>
        <w:bottom w:w="0" w:type="dxa"/>
        <w:right w:w="70" w:type="dxa"/>
      </w:tblCellMar>
    </w:tblPr>
  </w:style>
  <w:style w:type="table" w:customStyle="1" w:styleId="a4">
    <w:basedOn w:val="TableNormal5"/>
    <w:tblPr>
      <w:tblStyleRowBandSize w:val="1"/>
      <w:tblStyleColBandSize w:val="1"/>
      <w:tblCellMar>
        <w:top w:w="0" w:type="dxa"/>
        <w:left w:w="70" w:type="dxa"/>
        <w:bottom w:w="0" w:type="dxa"/>
        <w:right w:w="70" w:type="dxa"/>
      </w:tblCellMar>
    </w:tblPr>
  </w:style>
  <w:style w:type="table" w:customStyle="1" w:styleId="a5">
    <w:basedOn w:val="TableNormal5"/>
    <w:tblPr>
      <w:tblStyleRowBandSize w:val="1"/>
      <w:tblStyleColBandSize w:val="1"/>
      <w:tblCellMar>
        <w:top w:w="100" w:type="dxa"/>
        <w:left w:w="100" w:type="dxa"/>
        <w:bottom w:w="100" w:type="dxa"/>
        <w:right w:w="100" w:type="dxa"/>
      </w:tblCellMar>
    </w:tblPr>
  </w:style>
  <w:style w:type="table" w:customStyle="1" w:styleId="a6">
    <w:basedOn w:val="TableNormal5"/>
    <w:tblPr>
      <w:tblStyleRowBandSize w:val="1"/>
      <w:tblStyleColBandSize w:val="1"/>
      <w:tblCellMar>
        <w:top w:w="0" w:type="dxa"/>
        <w:left w:w="70" w:type="dxa"/>
        <w:bottom w:w="0" w:type="dxa"/>
        <w:right w:w="70" w:type="dxa"/>
      </w:tblCellMar>
    </w:tblPr>
  </w:style>
  <w:style w:type="table" w:customStyle="1" w:styleId="a7">
    <w:basedOn w:val="TableNormal5"/>
    <w:tblPr>
      <w:tblStyleRowBandSize w:val="1"/>
      <w:tblStyleColBandSize w:val="1"/>
      <w:tblCellMar>
        <w:top w:w="0" w:type="dxa"/>
        <w:left w:w="70" w:type="dxa"/>
        <w:bottom w:w="0" w:type="dxa"/>
        <w:right w:w="70" w:type="dxa"/>
      </w:tblCellMar>
    </w:tblPr>
  </w:style>
  <w:style w:type="table" w:customStyle="1" w:styleId="a8">
    <w:basedOn w:val="TableNormal5"/>
    <w:tblPr>
      <w:tblStyleRowBandSize w:val="1"/>
      <w:tblStyleColBandSize w:val="1"/>
      <w:tblCellMar>
        <w:top w:w="0" w:type="dxa"/>
        <w:left w:w="70" w:type="dxa"/>
        <w:bottom w:w="0" w:type="dxa"/>
        <w:right w:w="70" w:type="dxa"/>
      </w:tblCellMar>
    </w:tblPr>
  </w:style>
  <w:style w:type="table" w:customStyle="1" w:styleId="a9">
    <w:basedOn w:val="TableNormal5"/>
    <w:tblPr>
      <w:tblStyleRowBandSize w:val="1"/>
      <w:tblStyleColBandSize w:val="1"/>
      <w:tblCellMar>
        <w:top w:w="100" w:type="dxa"/>
        <w:left w:w="100" w:type="dxa"/>
        <w:bottom w:w="100" w:type="dxa"/>
        <w:right w:w="100" w:type="dxa"/>
      </w:tblCellMar>
    </w:tblPr>
  </w:style>
  <w:style w:type="table" w:customStyle="1" w:styleId="aa">
    <w:basedOn w:val="TableNormal5"/>
    <w:tblPr>
      <w:tblStyleRowBandSize w:val="1"/>
      <w:tblStyleColBandSize w:val="1"/>
      <w:tblCellMar>
        <w:top w:w="0" w:type="dxa"/>
        <w:left w:w="70" w:type="dxa"/>
        <w:bottom w:w="0" w:type="dxa"/>
        <w:right w:w="70" w:type="dxa"/>
      </w:tblCellMar>
    </w:tblPr>
  </w:style>
  <w:style w:type="table" w:customStyle="1" w:styleId="ab">
    <w:basedOn w:val="TableNormal5"/>
    <w:tblPr>
      <w:tblStyleRowBandSize w:val="1"/>
      <w:tblStyleColBandSize w:val="1"/>
      <w:tblCellMar>
        <w:top w:w="0" w:type="dxa"/>
        <w:left w:w="70" w:type="dxa"/>
        <w:bottom w:w="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www.biomedcentral.com/1471-244X/8/24" TargetMode="External"/><Relationship Id="rId1" Type="http://schemas.openxmlformats.org/officeDocument/2006/relationships/hyperlink" Target="http://www.biomedcentral.com/1471-244X/8/2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kEO2PCWpCZtwwxK/e1kVdplRJw==">CgMxLjAyDmgua25jbDVueXdvZHgzOAByITFHZ3pad3JRZERDODhGM0diQVVpb2FJb3B5NVdoZDBaUQ==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3019</Words>
  <Characters>16605</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WILSON L. MORENO C.</dc:creator>
  <cp:lastModifiedBy>ELIAS APONTE BUSTAMANTE</cp:lastModifiedBy>
  <cp:revision>2</cp:revision>
  <dcterms:created xsi:type="dcterms:W3CDTF">2025-03-10T18:28:00Z</dcterms:created>
  <dcterms:modified xsi:type="dcterms:W3CDTF">2025-03-10T18:28:00Z</dcterms:modified>
</cp:coreProperties>
</file>